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345/2020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октября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мировой судья судебного участка №56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r>
        <w:rPr>
          <w:rStyle w:val="cat-UserDefinedgrp-27rplc-5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»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Вепринцевой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О.И.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Вепринцева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МБОУ «</w:t>
      </w:r>
      <w:r>
        <w:rPr>
          <w:rStyle w:val="cat-UserDefinedgrp-27rplc-14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»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Вепринцева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О.И.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дне слушания дела по адресу, указанному в протоколе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Вепринцевой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мировой судья приходит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15.5 КоАП РФ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ст.388 НК РФ налогоплательщиками налога признаются организации, обладающие земельными участками, признаваемыми объектом налогообложения в соответствии со статьей 389 НК РФ, на праве собственности, праве постоянного (бессрочного) пользования, если иное не установлено настоящим пунктом.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Объектом налогообложения признаются земельные участки, расположенные в пределах муниципальных образований, на территории которого введен налог.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имеет в постоянном бессрочном пользовании земельный участок, общей площадью 13540 </w:t>
      </w:r>
      <w:r>
        <w:rPr>
          <w:rFonts w:ascii="Times New Roman" w:eastAsia="Times New Roman" w:hAnsi="Times New Roman" w:cs="Times New Roman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</w:t>
      </w:r>
      <w:r>
        <w:rPr>
          <w:rStyle w:val="cat-UserDefinedgrp-3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право собственности зарегистрировано в Едином государственном реестре недвижимости </w:t>
      </w:r>
      <w:r>
        <w:rPr>
          <w:rStyle w:val="cat-UserDefinedgrp-3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п.1 ст.360 Налогового Кодекса Российской Федерации налоговым периодом признается календарный год.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п.3 статьи 398 Налогового Кодекса Российской Федерации налоговая декларация по земельному налогу представляется налогоплательщиками не позднее 1 февраля года, следующего за истекшим налоговым периодом.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Соответственно, срок представления налоговой декларации по земельному налогу за 2019год- 03.02.2020года (01.02.2020г. и 02.02.2020г. - выходной день).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статьи 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передаче налоговой декларации (расчета) по телекоммуникационным каналам связи или через личный кабинет налогоплательщика днем ее представления считается дата ее отправки.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216 Административного регламента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</w:t>
      </w:r>
      <w:r>
        <w:rPr>
          <w:rFonts w:ascii="Times New Roman" w:eastAsia="Times New Roman" w:hAnsi="Times New Roman" w:cs="Times New Roman"/>
          <w:sz w:val="28"/>
          <w:szCs w:val="28"/>
        </w:rPr>
        <w:t>сборов, правах и обязанностях налогоплательщиков, плательщиков сборов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налоговых агентов, полномочиях налоговых органов и их должностных лиц, а также по приему налоговых деклараций (расчетов) N 99н от 02.07.2012 года, датой представления налоговой декларации (расчета) заявителем в электронной форме по ТКС через оператора электронного документооборота считается дата, зафиксированная в подтверждении даты отправки.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r>
        <w:rPr>
          <w:rStyle w:val="cat-UserDefinedgrp-27rplc-32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»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положений пп.4 п.1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 НК РФ, п.6 ст. 80 НК РФ, п.3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ст.398 НК РФ, не предоставило в установленный законодательством срок налоговую декларацию по земельному налогу за 2019 год. Срок предоставления по законодательству - не позднее 03.02.2020 г., фактически налогоплательщиком налоговая декларация по земельному налогу с номером корректировки «0» представлена 04.02.2020г. по телеко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ммуникационным каналам связи,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928529115, согласно которой сумма налога к уплате составляет 42руб. Сумма налога внесена в бюджет в полном объеме 05.02.2020г.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/п №233335.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представлению в налоговый орган налоговых деклараций возложена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r>
        <w:rPr>
          <w:rStyle w:val="cat-UserDefinedgrp-27rplc-38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»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Вепринцеву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</w:t>
      </w:r>
      <w:r>
        <w:rPr>
          <w:rFonts w:ascii="Times New Roman" w:eastAsia="Times New Roman" w:hAnsi="Times New Roman" w:cs="Times New Roman"/>
          <w:sz w:val="28"/>
          <w:szCs w:val="28"/>
        </w:rPr>
        <w:t>ственность как должностные лица</w:t>
      </w:r>
      <w:r>
        <w:rPr>
          <w:rFonts w:ascii="Times New Roman" w:eastAsia="Times New Roman" w:hAnsi="Times New Roman" w:cs="Times New Roman"/>
          <w:sz w:val="28"/>
          <w:szCs w:val="28"/>
        </w:rPr>
        <w:t>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Вепринцева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должностной инструкцией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бухгалтера МБОУ «</w:t>
      </w:r>
      <w:r>
        <w:rPr>
          <w:rStyle w:val="cat-UserDefinedgrp-27rplc-42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Вепринцев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>собранных по делу доказательств,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15.09.2020г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должностной инструкцией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бухгалтера МБОУ «</w:t>
      </w:r>
      <w:r>
        <w:rPr>
          <w:rStyle w:val="cat-UserDefinedgrp-27rplc-46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Красногвардейского района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Крым </w:t>
      </w:r>
      <w:r>
        <w:rPr>
          <w:rFonts w:ascii="Times New Roman" w:eastAsia="Times New Roman" w:hAnsi="Times New Roman" w:cs="Times New Roman"/>
          <w:sz w:val="28"/>
          <w:szCs w:val="28"/>
        </w:rPr>
        <w:t>Вепринцевой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судья полагает, что 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бухгалтера МБОУ «</w:t>
      </w:r>
      <w:r>
        <w:rPr>
          <w:rStyle w:val="cat-UserDefinedgrp-27rplc-49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Вепринцевой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бухгалтера МБОУ «</w:t>
      </w:r>
      <w:r>
        <w:rPr>
          <w:rStyle w:val="cat-UserDefinedgrp-27rplc-52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Вепринцевой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бухгалтера МБОУ «</w:t>
      </w:r>
      <w:r>
        <w:rPr>
          <w:rStyle w:val="cat-UserDefinedgrp-27rplc-55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Вепринцевой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О.И.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бухгалтера МБОУ «</w:t>
      </w:r>
      <w:r>
        <w:rPr>
          <w:rStyle w:val="cat-UserDefinedgrp-27rplc-58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Вепринцев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61"/>
          <w:rFonts w:ascii="Times New Roman" w:eastAsia="Times New Roman" w:hAnsi="Times New Roman" w:cs="Times New Roman"/>
          <w:sz w:val="28"/>
          <w:szCs w:val="28"/>
        </w:rPr>
        <w:t>О.И.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5">
    <w:name w:val="cat-UserDefined grp-27 rplc-5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UserDefinedgrp-27rplc-32">
    <w:name w:val="cat-UserDefined grp-27 rplc-32"/>
    <w:basedOn w:val="DefaultParagraphFont"/>
  </w:style>
  <w:style w:type="character" w:customStyle="1" w:styleId="cat-UserDefinedgrp-27rplc-38">
    <w:name w:val="cat-UserDefined grp-27 rplc-38"/>
    <w:basedOn w:val="DefaultParagraphFont"/>
  </w:style>
  <w:style w:type="character" w:customStyle="1" w:styleId="cat-UserDefinedgrp-27rplc-42">
    <w:name w:val="cat-UserDefined grp-27 rplc-42"/>
    <w:basedOn w:val="DefaultParagraphFont"/>
  </w:style>
  <w:style w:type="character" w:customStyle="1" w:styleId="cat-UserDefinedgrp-27rplc-46">
    <w:name w:val="cat-UserDefined grp-27 rplc-46"/>
    <w:basedOn w:val="DefaultParagraphFont"/>
  </w:style>
  <w:style w:type="character" w:customStyle="1" w:styleId="cat-UserDefinedgrp-27rplc-49">
    <w:name w:val="cat-UserDefined grp-27 rplc-49"/>
    <w:basedOn w:val="DefaultParagraphFont"/>
  </w:style>
  <w:style w:type="character" w:customStyle="1" w:styleId="cat-UserDefinedgrp-27rplc-52">
    <w:name w:val="cat-UserDefined grp-27 rplc-52"/>
    <w:basedOn w:val="DefaultParagraphFont"/>
  </w:style>
  <w:style w:type="character" w:customStyle="1" w:styleId="cat-UserDefinedgrp-27rplc-55">
    <w:name w:val="cat-UserDefined grp-27 rplc-55"/>
    <w:basedOn w:val="DefaultParagraphFont"/>
  </w:style>
  <w:style w:type="character" w:customStyle="1" w:styleId="cat-UserDefinedgrp-27rplc-58">
    <w:name w:val="cat-UserDefined grp-27 rplc-58"/>
    <w:basedOn w:val="DefaultParagraphFont"/>
  </w:style>
  <w:style w:type="character" w:customStyle="1" w:styleId="cat-UserDefinedgrp-33rplc-61">
    <w:name w:val="cat-UserDefined grp-33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