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6B00" w:rsidRPr="00ED6D1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  <w:lang w:eastAsia="ru-RU"/>
        </w:rPr>
        <w:t>Дело № 5-59-69/2018</w:t>
      </w:r>
    </w:p>
    <w:p w:rsidR="00996B00" w:rsidRPr="00ED6D1C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96B00" w:rsidRPr="00ED6D1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96B00" w:rsidRPr="00ED6D1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14 марта 2018 г.</w:t>
      </w:r>
    </w:p>
    <w:p w:rsidR="00996B00" w:rsidRPr="00ED6D1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D6D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г. Красноперекопск, микрорайон 10, дом 4, рассмотрев в открытом судебном заседании дело об административном правонарушении, предусмотренном ч.1 ст. 15.6 КоАП РФ, в отношении</w:t>
      </w:r>
    </w:p>
    <w:p w:rsidR="00996B00" w:rsidRPr="00ED6D1C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крестьянского (фермерского) хозяйства </w:t>
      </w:r>
      <w:r w:rsidRPr="00ED6D1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Гетманчука Н.П., </w:t>
      </w:r>
      <w:r w:rsidRPr="00ED6D1C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 к административной ответственности,</w:t>
      </w:r>
    </w:p>
    <w:p w:rsidR="00996B00" w:rsidRPr="00ED6D1C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96B00" w:rsidRPr="00ED6D1C" w:rsidP="005548A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КФХ </w:t>
      </w:r>
      <w:r w:rsidRPr="00ED6D1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 Н.П. </w:t>
      </w:r>
      <w:r w:rsidRPr="00ED6D1C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ч.1 ст. 15.6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996B00" w:rsidRPr="00ED6D1C" w:rsidP="0055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01.11.2017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 Н.П., являясь главой КФХ   </w:t>
      </w:r>
      <w:r w:rsidRPr="00ED6D1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направил по почте на бумажном носителе в Межрайонную ИФНС №2 по Республике Крым налоговую декларацию по налогу на прибыль организаций за 9 месяцев 2017 года, рег.</w:t>
      </w:r>
      <w:r w:rsidRPr="00ED6D1C">
        <w:rPr>
          <w:rFonts w:ascii="Times New Roman" w:hAnsi="Times New Roman" w:cs="Times New Roman"/>
          <w:sz w:val="24"/>
          <w:szCs w:val="24"/>
        </w:rPr>
        <w:t>&lt; номер &gt;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96B00" w:rsidRPr="00ED6D1C" w:rsidP="00B64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КФХ </w:t>
      </w:r>
      <w:r w:rsidRPr="00ED6D1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 Н.П. в нарушение п. 3 ст. 80, п.2 ст.285, п.1 и п.3 ст.289 Налогового кодекса РФ, предусматривающих, предоставление налоговых деклараций </w:t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"consultantplus://offline/ref=EE429EEADC82BB49FA8C4D5B776A4CF8D811618A99314196C1A40C4B242E79580FB64839BF98C797w1hAF" </w:instrText>
      </w:r>
      <w:r>
        <w:fldChar w:fldCharType="separate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отчетного периода</w:t>
      </w:r>
      <w:r>
        <w:fldChar w:fldCharType="end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, то есть не позднее 28.10.2017, а с учетом норм п. 7 ст. 6.1 НК РФ не позднее 30.10.2017,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 налоговую декларацию по налогу на прибыль организаций за 9 месяцев 2017 года.</w:t>
      </w:r>
    </w:p>
    <w:p w:rsidR="00996B00" w:rsidRPr="00ED6D1C" w:rsidP="009B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Глава КФХ &lt;данные изъяты&gt; Гетманчук Н.П. в судебное заседание не явился, о времени и месте рассмотрения дела извещен надлежащим образом. Учитывая положения ч. 2 ст. 25.1, ст. 25.15 КоАП РФ, мировой судья счёл возможным рассмотреть дело в отсутствие Гетманчука Н.П., поскольку его неявка не препятствует всестороннему, полному и объективному выяснению всех обстоятельств дела.</w:t>
      </w:r>
    </w:p>
    <w:p w:rsidR="00996B00" w:rsidRPr="00241BE9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1B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Гетманчука Н.П. подтверждается собранными по делу доказательствами: протоколом </w:t>
      </w:r>
      <w:r w:rsidRPr="00241BE9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41B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13.02.2018 (л.д. 1-4); копией акта </w:t>
      </w:r>
      <w:r w:rsidRPr="00241BE9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41BE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13.02.2018  об обнаружении фактов, свидетельствующих о предусмотренных НК РФ налоговых нарушениях (л.д. 10-12); копией налоговой декларации по налогу на прибыль организаций от 01.11.2017 (л.д. 13).</w:t>
      </w:r>
    </w:p>
    <w:p w:rsidR="00996B00" w:rsidRPr="00ED6D1C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96B00" w:rsidRPr="00ED6D1C" w:rsidP="00B3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п.3 ст.80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"consultantplus://offline/ref=9C0142F9B948246A4C8FD0BE0DE3DFEA17F71F5AC8781ADF700FD8AFN535F" </w:instrText>
      </w:r>
      <w:r>
        <w:fldChar w:fldCharType="separate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996B00" w:rsidRPr="00ED6D1C" w:rsidP="00B6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  <w:lang w:eastAsia="ru-RU"/>
        </w:rPr>
        <w:t>На основании п.2 ст.285 НК РФ, отчетными периодами по налогу признаются первый квартал, полугодие и девять месяцев календарного года.</w:t>
      </w:r>
    </w:p>
    <w:p w:rsidR="00996B00" w:rsidRPr="00ED6D1C" w:rsidP="00B6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"consultantplus://offline/ref=8057296E6D4FBE302D0BED590F7653BFE4D5E0347E072E377B4F1B1F800690C199AFF9F7EA257784S8ABG" </w:instrText>
      </w:r>
      <w:r>
        <w:fldChar w:fldCharType="separate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отчетного</w:t>
      </w:r>
      <w:r>
        <w:fldChar w:fldCharType="end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"consultantplus://offline/ref=8057296E6D4FBE302D0BED590F7653BFE4D5E0347E072E377B4F1B1F800690C199AFF9F7EA257784S8A8G" </w:instrText>
      </w:r>
      <w:r>
        <w:fldChar w:fldCharType="separate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налогового</w:t>
      </w:r>
      <w:r>
        <w:fldChar w:fldCharType="end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996B00" w:rsidRPr="00ED6D1C" w:rsidP="00B6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Пунктом 3 ст. 289 НК РФ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"consultantplus://offline/ref=D5C515EBEA700182B6D201F19E611187B5078BE582BB42762D14285036DAD8068822B61CBDD3922FHDDFG" </w:instrText>
      </w:r>
      <w:r>
        <w:fldChar w:fldCharType="separate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отчетного периода</w:t>
      </w:r>
      <w:r>
        <w:fldChar w:fldCharType="end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fldChar w:fldCharType="begin"/>
      </w:r>
      <w:r>
        <w:instrText xml:space="preserve"> HYPERLINK "consultantplus://offline/ref=D5C515EBEA700182B6D201F19E611187B5078BE582BB42762D14285036DAD8068822B61CBDD39221HDDAG" </w:instrText>
      </w:r>
      <w:r>
        <w:fldChar w:fldCharType="separate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сроки</w:t>
      </w:r>
      <w:r>
        <w:fldChar w:fldCharType="end"/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>, установленные для уплаты авансовых платежей.</w:t>
      </w:r>
    </w:p>
    <w:p w:rsidR="00996B00" w:rsidRPr="00ED6D1C" w:rsidP="00B6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главой КФХ </w:t>
      </w:r>
      <w:r w:rsidRPr="00ED6D1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Гетманчуком Н.П. </w:t>
      </w:r>
      <w:r w:rsidRPr="00ED6D1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996B00" w:rsidRPr="00ED6D1C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главы КФХ </w:t>
      </w:r>
      <w:r w:rsidRPr="00ED6D1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Гетманчука Н.П.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ED6D1C">
        <w:rPr>
          <w:rFonts w:ascii="Times New Roman" w:hAnsi="Times New Roman" w:cs="Times New Roman"/>
          <w:sz w:val="24"/>
          <w:szCs w:val="24"/>
        </w:rPr>
        <w:t>.</w:t>
      </w:r>
    </w:p>
    <w:p w:rsidR="00996B00" w:rsidRPr="00ED6D1C" w:rsidP="00B357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смягчающих ответственность, мировым судьей не установлено.</w:t>
      </w:r>
    </w:p>
    <w:p w:rsidR="00996B00" w:rsidRPr="00ED6D1C" w:rsidP="00B357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996B00" w:rsidRPr="00ED6D1C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обстоятельства, отягчающие административную ответственность.</w:t>
      </w:r>
    </w:p>
    <w:p w:rsidR="00996B00" w:rsidRPr="00ED6D1C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6B00" w:rsidRPr="00ED6D1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96B00" w:rsidRPr="00ED6D1C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1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96B00" w:rsidRPr="00ED6D1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главу крестьянского (фермерского) хозяйства </w:t>
      </w:r>
      <w:r w:rsidRPr="00ED6D1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D6D1C">
        <w:rPr>
          <w:rFonts w:ascii="Times New Roman" w:eastAsia="Arial Unicode MS" w:hAnsi="Times New Roman" w:cs="Times New Roman"/>
          <w:sz w:val="24"/>
          <w:szCs w:val="24"/>
          <w:lang w:eastAsia="ru-RU"/>
        </w:rPr>
        <w:t>Гетманчука Н.П.</w:t>
      </w:r>
      <w:r w:rsidRPr="00ED6D1C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правонарушениях, и назначить ему административное наказание в виде штрафа в размере 400 (четыреста) рублей.</w:t>
      </w:r>
    </w:p>
    <w:p w:rsidR="00996B00" w:rsidRPr="00ED6D1C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35623430, Банк получателя – Отделение по Республике Крым ЦБ РФ открытый УФК по РК, БИК 043510001, УИН (код в поле 22) «0».</w:t>
      </w:r>
    </w:p>
    <w:p w:rsidR="00996B00" w:rsidRPr="00ED6D1C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D1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ED6D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D6D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Республики Крым</w:t>
      </w:r>
      <w:r w:rsidRPr="00ED6D1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96B00" w:rsidRPr="00ED6D1C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D1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96B00" w:rsidRPr="00ED6D1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6B00" w:rsidRPr="00ED6D1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D6D1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D6D1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ED6D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D6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B00" w:rsidRPr="00ED6D1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B00" w:rsidRPr="00ED6D1C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>Мировой судья</w:t>
      </w:r>
      <w:r w:rsidRPr="00ED6D1C">
        <w:rPr>
          <w:rFonts w:ascii="Times New Roman" w:hAnsi="Times New Roman" w:cs="Times New Roman"/>
          <w:sz w:val="24"/>
          <w:szCs w:val="24"/>
        </w:rPr>
        <w:tab/>
      </w:r>
      <w:r w:rsidRPr="00ED6D1C">
        <w:rPr>
          <w:rFonts w:ascii="Times New Roman" w:hAnsi="Times New Roman" w:cs="Times New Roman"/>
          <w:sz w:val="24"/>
          <w:szCs w:val="24"/>
        </w:rPr>
        <w:tab/>
      </w:r>
      <w:r w:rsidRPr="00ED6D1C">
        <w:rPr>
          <w:rFonts w:ascii="Times New Roman" w:hAnsi="Times New Roman" w:cs="Times New Roman"/>
          <w:sz w:val="24"/>
          <w:szCs w:val="24"/>
        </w:rPr>
        <w:tab/>
      </w:r>
      <w:r w:rsidRPr="00ED6D1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D6D1C">
        <w:rPr>
          <w:rFonts w:ascii="Times New Roman" w:hAnsi="Times New Roman" w:cs="Times New Roman"/>
          <w:sz w:val="24"/>
          <w:szCs w:val="24"/>
        </w:rPr>
        <w:tab/>
      </w:r>
      <w:r w:rsidRPr="00ED6D1C">
        <w:rPr>
          <w:rFonts w:ascii="Times New Roman" w:hAnsi="Times New Roman" w:cs="Times New Roman"/>
          <w:sz w:val="24"/>
          <w:szCs w:val="24"/>
        </w:rPr>
        <w:tab/>
      </w:r>
      <w:r w:rsidRPr="00ED6D1C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996B00" w:rsidRPr="00ED6D1C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00" w:rsidRPr="00ED6D1C" w:rsidP="00ED6D1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D1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96B00" w:rsidRPr="00ED6D1C" w:rsidP="00ED6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96B00" w:rsidRPr="00ED6D1C" w:rsidP="00ED6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96B00" w:rsidRPr="000507DA" w:rsidP="00ED6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D1C">
        <w:rPr>
          <w:rFonts w:ascii="Times New Roman" w:hAnsi="Times New Roman" w:cs="Times New Roman"/>
          <w:sz w:val="24"/>
          <w:szCs w:val="24"/>
        </w:rPr>
        <w:t xml:space="preserve">          «____»_____________2018г.            </w:t>
      </w:r>
    </w:p>
    <w:sectPr w:rsidSect="00B3572D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00" w:rsidP="00D67F7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507DA"/>
    <w:rsid w:val="00072374"/>
    <w:rsid w:val="00076A9C"/>
    <w:rsid w:val="000A4B44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1E6F97"/>
    <w:rsid w:val="00200722"/>
    <w:rsid w:val="0020485A"/>
    <w:rsid w:val="00211B9B"/>
    <w:rsid w:val="00212972"/>
    <w:rsid w:val="00235462"/>
    <w:rsid w:val="00241BE9"/>
    <w:rsid w:val="002449F4"/>
    <w:rsid w:val="00257B48"/>
    <w:rsid w:val="002619A1"/>
    <w:rsid w:val="002621B0"/>
    <w:rsid w:val="0028172C"/>
    <w:rsid w:val="002C4D24"/>
    <w:rsid w:val="002D0D55"/>
    <w:rsid w:val="00305524"/>
    <w:rsid w:val="003078A3"/>
    <w:rsid w:val="0031015B"/>
    <w:rsid w:val="003306D4"/>
    <w:rsid w:val="00334D7F"/>
    <w:rsid w:val="00340A1E"/>
    <w:rsid w:val="00347543"/>
    <w:rsid w:val="00355889"/>
    <w:rsid w:val="00365486"/>
    <w:rsid w:val="003669DA"/>
    <w:rsid w:val="003676C1"/>
    <w:rsid w:val="00392D82"/>
    <w:rsid w:val="003C74EA"/>
    <w:rsid w:val="003E50A4"/>
    <w:rsid w:val="004028D1"/>
    <w:rsid w:val="004061C3"/>
    <w:rsid w:val="00416775"/>
    <w:rsid w:val="004340D9"/>
    <w:rsid w:val="00454EF4"/>
    <w:rsid w:val="004815B1"/>
    <w:rsid w:val="004A3BDA"/>
    <w:rsid w:val="004D14C4"/>
    <w:rsid w:val="004E74A6"/>
    <w:rsid w:val="004E7FAD"/>
    <w:rsid w:val="004F6C85"/>
    <w:rsid w:val="00501E29"/>
    <w:rsid w:val="00503D71"/>
    <w:rsid w:val="00510FB4"/>
    <w:rsid w:val="005320B4"/>
    <w:rsid w:val="005548A2"/>
    <w:rsid w:val="00562A0D"/>
    <w:rsid w:val="00570286"/>
    <w:rsid w:val="0059617D"/>
    <w:rsid w:val="005D2317"/>
    <w:rsid w:val="005E6BB7"/>
    <w:rsid w:val="00651266"/>
    <w:rsid w:val="006618F4"/>
    <w:rsid w:val="00666AAA"/>
    <w:rsid w:val="0067087E"/>
    <w:rsid w:val="006769F6"/>
    <w:rsid w:val="006912F1"/>
    <w:rsid w:val="006C712E"/>
    <w:rsid w:val="006E3BD4"/>
    <w:rsid w:val="006E54ED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750F0"/>
    <w:rsid w:val="007D2888"/>
    <w:rsid w:val="007F10E1"/>
    <w:rsid w:val="00810DE2"/>
    <w:rsid w:val="00811F4F"/>
    <w:rsid w:val="008438DE"/>
    <w:rsid w:val="00845250"/>
    <w:rsid w:val="00850BFE"/>
    <w:rsid w:val="00854A6B"/>
    <w:rsid w:val="00854F75"/>
    <w:rsid w:val="00887D76"/>
    <w:rsid w:val="008A4A93"/>
    <w:rsid w:val="008C0B9E"/>
    <w:rsid w:val="008C4D63"/>
    <w:rsid w:val="008E05D2"/>
    <w:rsid w:val="008E33D4"/>
    <w:rsid w:val="00902804"/>
    <w:rsid w:val="009444CB"/>
    <w:rsid w:val="00952457"/>
    <w:rsid w:val="00961679"/>
    <w:rsid w:val="00996B00"/>
    <w:rsid w:val="009B0CD2"/>
    <w:rsid w:val="009C5616"/>
    <w:rsid w:val="009C6202"/>
    <w:rsid w:val="009D6037"/>
    <w:rsid w:val="009E048E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225BA"/>
    <w:rsid w:val="00B3572D"/>
    <w:rsid w:val="00B55AA9"/>
    <w:rsid w:val="00B644EA"/>
    <w:rsid w:val="00B81840"/>
    <w:rsid w:val="00B879CA"/>
    <w:rsid w:val="00BA3322"/>
    <w:rsid w:val="00BA3D45"/>
    <w:rsid w:val="00BC45E6"/>
    <w:rsid w:val="00C01F95"/>
    <w:rsid w:val="00C02624"/>
    <w:rsid w:val="00C04FF9"/>
    <w:rsid w:val="00C07146"/>
    <w:rsid w:val="00C121F4"/>
    <w:rsid w:val="00C33E99"/>
    <w:rsid w:val="00C51960"/>
    <w:rsid w:val="00C61042"/>
    <w:rsid w:val="00C631B0"/>
    <w:rsid w:val="00C646B1"/>
    <w:rsid w:val="00C75609"/>
    <w:rsid w:val="00C77F8B"/>
    <w:rsid w:val="00C9021F"/>
    <w:rsid w:val="00D064B8"/>
    <w:rsid w:val="00D113D7"/>
    <w:rsid w:val="00D17EC6"/>
    <w:rsid w:val="00D67F73"/>
    <w:rsid w:val="00DB7724"/>
    <w:rsid w:val="00DE76AA"/>
    <w:rsid w:val="00DF3658"/>
    <w:rsid w:val="00E30F72"/>
    <w:rsid w:val="00E315ED"/>
    <w:rsid w:val="00E32555"/>
    <w:rsid w:val="00E656C7"/>
    <w:rsid w:val="00E83FD6"/>
    <w:rsid w:val="00E8478D"/>
    <w:rsid w:val="00E94CEF"/>
    <w:rsid w:val="00ED6D1C"/>
    <w:rsid w:val="00EF0A27"/>
    <w:rsid w:val="00EF4269"/>
    <w:rsid w:val="00EF5A69"/>
    <w:rsid w:val="00F006E6"/>
    <w:rsid w:val="00F31B11"/>
    <w:rsid w:val="00F46784"/>
    <w:rsid w:val="00F556F7"/>
    <w:rsid w:val="00F62543"/>
    <w:rsid w:val="00F826F6"/>
    <w:rsid w:val="00F95E08"/>
    <w:rsid w:val="00FB0206"/>
    <w:rsid w:val="00FB30D3"/>
    <w:rsid w:val="00FC5548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ED6D1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