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DD157A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DD157A">
        <w:rPr>
          <w:rFonts w:ascii="Times New Roman" w:eastAsia="Times New Roman" w:hAnsi="Times New Roman" w:cs="Times New Roman"/>
          <w:sz w:val="24"/>
          <w:szCs w:val="24"/>
          <w:lang w:eastAsia="ru-RU"/>
        </w:rPr>
        <w:t>002721-60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62500</w:t>
      </w:r>
      <w:r w:rsidR="00DD157A">
        <w:rPr>
          <w:rFonts w:ascii="Times New Roman" w:eastAsia="Times New Roman" w:hAnsi="Times New Roman" w:cs="Times New Roman"/>
          <w:sz w:val="24"/>
          <w:szCs w:val="24"/>
          <w:lang w:eastAsia="ru-RU"/>
        </w:rPr>
        <w:t>5402420189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8F1B8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Антипина Евгения Михайловича,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31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Е.М.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B57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8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 Е.М.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0B18E2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 Е.М.</w:t>
      </w: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3BD4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дела, а</w:t>
      </w:r>
      <w:r w:rsidR="0008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 протоколом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постановлением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</w:t>
      </w:r>
      <w:r w:rsidR="0008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 от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 от </w:t>
      </w:r>
      <w:r w:rsidRPr="008F1B8E" w:rsidR="008F1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BD4" w:rsidRP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Антипина Евгения Михайловича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</w:t>
      </w:r>
      <w:r w:rsidR="00086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а именно в размере 10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86C5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1460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F29AC"/>
    <w:rsid w:val="0080783A"/>
    <w:rsid w:val="00815EF8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1B8E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3124A"/>
    <w:rsid w:val="00A52688"/>
    <w:rsid w:val="00A670A9"/>
    <w:rsid w:val="00A71021"/>
    <w:rsid w:val="00A9783F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57711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157A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FD00-C33D-4ACC-AA0C-DD34676A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