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4D6C" w:rsidP="00D44D6C">
      <w:pPr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0"/>
          <w:szCs w:val="20"/>
        </w:rPr>
        <w:t xml:space="preserve">   Дело № 5-63-</w:t>
      </w:r>
      <w:r w:rsidR="00B01A95">
        <w:rPr>
          <w:b/>
          <w:sz w:val="20"/>
          <w:szCs w:val="20"/>
        </w:rPr>
        <w:t>253</w:t>
      </w:r>
      <w:r>
        <w:rPr>
          <w:b/>
          <w:sz w:val="20"/>
          <w:szCs w:val="20"/>
        </w:rPr>
        <w:t>/2020</w:t>
      </w:r>
    </w:p>
    <w:p w:rsidR="00D44D6C" w:rsidP="00D44D6C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D44D6C" w:rsidP="00D44D6C">
      <w:pPr>
        <w:jc w:val="both"/>
        <w:rPr>
          <w:lang w:val="uk-UA"/>
        </w:rPr>
      </w:pPr>
    </w:p>
    <w:p w:rsidR="00D44D6C" w:rsidP="00D44D6C">
      <w:pPr>
        <w:rPr>
          <w:lang w:val="uk-UA"/>
        </w:rPr>
      </w:pPr>
      <w:r>
        <w:rPr>
          <w:lang w:val="uk-UA"/>
        </w:rPr>
        <w:t>20</w:t>
      </w:r>
      <w:r>
        <w:rPr>
          <w:lang w:val="uk-UA"/>
        </w:rPr>
        <w:t xml:space="preserve"> </w:t>
      </w:r>
      <w:r>
        <w:rPr>
          <w:lang w:val="uk-UA"/>
        </w:rPr>
        <w:t>августа</w:t>
      </w:r>
      <w:r>
        <w:rPr>
          <w:lang w:val="uk-UA"/>
        </w:rPr>
        <w:t xml:space="preserve">2020 г.     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B61A1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507F4C"/>
    <w:rsid w:val="00532158"/>
    <w:rsid w:val="00587509"/>
    <w:rsid w:val="00600DD3"/>
    <w:rsid w:val="00607F42"/>
    <w:rsid w:val="00692E56"/>
    <w:rsid w:val="00715A79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410E4"/>
    <w:rsid w:val="00A52BAD"/>
    <w:rsid w:val="00A71015"/>
    <w:rsid w:val="00A8112B"/>
    <w:rsid w:val="00A8611C"/>
    <w:rsid w:val="00B01A95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4D6C"/>
    <w:rsid w:val="00DE5D4D"/>
    <w:rsid w:val="00E069EF"/>
    <w:rsid w:val="00E23500"/>
    <w:rsid w:val="00E41BCD"/>
    <w:rsid w:val="00E954A4"/>
    <w:rsid w:val="00F32093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