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A7047" w:rsidP="00F964DA">
      <w:pPr>
        <w:jc w:val="right"/>
        <w:rPr>
          <w:b/>
        </w:rPr>
      </w:pPr>
      <w:r w:rsidRPr="006A7047">
        <w:rPr>
          <w:b/>
        </w:rPr>
        <w:t>дело №5-</w:t>
      </w:r>
      <w:r w:rsidRPr="006A7047" w:rsidR="00EF785D">
        <w:rPr>
          <w:b/>
        </w:rPr>
        <w:t>63</w:t>
      </w:r>
      <w:r w:rsidRPr="006A7047" w:rsidR="00087F24">
        <w:rPr>
          <w:b/>
        </w:rPr>
        <w:t>-</w:t>
      </w:r>
      <w:r w:rsidR="0058790C">
        <w:rPr>
          <w:b/>
        </w:rPr>
        <w:t>423</w:t>
      </w:r>
      <w:r w:rsidRPr="006A7047">
        <w:rPr>
          <w:b/>
        </w:rPr>
        <w:t>/20</w:t>
      </w:r>
      <w:r w:rsidRPr="006A7047" w:rsidR="00DE4270">
        <w:rPr>
          <w:b/>
        </w:rPr>
        <w:t>2</w:t>
      </w:r>
      <w:r w:rsidRPr="006A7047" w:rsidR="003361D6">
        <w:rPr>
          <w:b/>
        </w:rPr>
        <w:t>3</w:t>
      </w:r>
    </w:p>
    <w:p w:rsidR="00F964DA" w:rsidRPr="006A7047" w:rsidP="00F964DA">
      <w:pPr>
        <w:jc w:val="center"/>
        <w:rPr>
          <w:b/>
        </w:rPr>
      </w:pPr>
    </w:p>
    <w:p w:rsidR="00B5687F" w:rsidRPr="006A7047" w:rsidP="00F964DA">
      <w:pPr>
        <w:jc w:val="center"/>
        <w:rPr>
          <w:b/>
        </w:rPr>
      </w:pPr>
      <w:r w:rsidRPr="006A7047">
        <w:rPr>
          <w:b/>
        </w:rPr>
        <w:t>ПОСТАНОВЛЕНИЕ</w:t>
      </w:r>
    </w:p>
    <w:p w:rsidR="00B5687F" w:rsidRPr="006A7047" w:rsidP="002016A0">
      <w:pPr>
        <w:rPr>
          <w:lang w:val="uk-UA"/>
        </w:rPr>
      </w:pPr>
      <w:r>
        <w:t>14</w:t>
      </w:r>
      <w:r w:rsidRPr="006A7047" w:rsidR="003361D6">
        <w:t xml:space="preserve"> </w:t>
      </w:r>
      <w:r>
        <w:t>декабря</w:t>
      </w:r>
      <w:r w:rsidRPr="006A7047" w:rsidR="003361D6">
        <w:t xml:space="preserve"> 2023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 </w:t>
      </w:r>
      <w:r w:rsidR="00543C81">
        <w:rPr>
          <w:lang w:val="uk-UA"/>
        </w:rPr>
        <w:t xml:space="preserve">  </w:t>
      </w:r>
      <w:r w:rsidRPr="006A7047" w:rsidR="00A55F64">
        <w:rPr>
          <w:lang w:val="uk-UA"/>
        </w:rPr>
        <w:t xml:space="preserve">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 xml:space="preserve">пгт  </w:t>
      </w:r>
      <w:r w:rsidRPr="006A7047">
        <w:rPr>
          <w:lang w:val="uk-UA"/>
        </w:rPr>
        <w:t>Ленино</w:t>
      </w:r>
    </w:p>
    <w:p w:rsidR="00B5687F" w:rsidRPr="006A7047" w:rsidP="00F964DA">
      <w:pPr>
        <w:jc w:val="both"/>
      </w:pPr>
      <w:r w:rsidRPr="006A7047">
        <w:t xml:space="preserve"> </w:t>
      </w:r>
    </w:p>
    <w:p w:rsidR="00B5687F" w:rsidRPr="006A7047" w:rsidP="00C73B4B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 xml:space="preserve">я судебного участка №63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4D2227" w:rsidRPr="006A7047" w:rsidP="00507F9F">
      <w:pPr>
        <w:ind w:left="709"/>
        <w:jc w:val="both"/>
      </w:pPr>
      <w:r>
        <w:rPr>
          <w:b/>
        </w:rPr>
        <w:t>Саганджи</w:t>
      </w:r>
      <w:r>
        <w:rPr>
          <w:b/>
        </w:rPr>
        <w:t xml:space="preserve"> М.</w:t>
      </w:r>
      <w:r w:rsidR="00CD60D8">
        <w:rPr>
          <w:b/>
        </w:rPr>
        <w:t xml:space="preserve"> Ф</w:t>
      </w:r>
      <w:r>
        <w:rPr>
          <w:b/>
        </w:rPr>
        <w:t>.</w:t>
      </w:r>
      <w:r w:rsidR="00CD60D8">
        <w:rPr>
          <w:b/>
        </w:rPr>
        <w:t xml:space="preserve">, </w:t>
      </w:r>
      <w: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A7047" w:rsidP="00507F9F">
            <w:pPr>
              <w:ind w:right="-2"/>
              <w:jc w:val="both"/>
            </w:pPr>
            <w:r w:rsidRPr="006A7047">
              <w:t>в совершении административного правонар</w:t>
            </w:r>
            <w:r w:rsidRPr="006A7047" w:rsidR="002F6C3A">
              <w:t>ушения, предусмотренного ст. 6.1</w:t>
            </w:r>
            <w:r w:rsidRPr="006A7047">
              <w:t>.1 КоАП РФ,</w:t>
            </w:r>
          </w:p>
        </w:tc>
      </w:tr>
    </w:tbl>
    <w:p w:rsidR="00B5687F" w:rsidRPr="006A7047" w:rsidP="00C73B4B">
      <w:pPr>
        <w:ind w:firstLine="708"/>
        <w:jc w:val="center"/>
        <w:rPr>
          <w:b/>
        </w:rPr>
      </w:pPr>
      <w:r w:rsidRPr="006A7047">
        <w:rPr>
          <w:b/>
        </w:rPr>
        <w:t>УСТАНОВИЛ:</w:t>
      </w:r>
    </w:p>
    <w:p w:rsidR="002F6C3A" w:rsidRPr="006A7047" w:rsidP="002F6C3A">
      <w:pPr>
        <w:ind w:firstLine="851"/>
        <w:contextualSpacing/>
        <w:jc w:val="both"/>
      </w:pPr>
      <w:r>
        <w:t xml:space="preserve">Согласно протоколу об административном правонарушении  </w:t>
      </w:r>
      <w:r w:rsidR="00993325">
        <w:t>(данные изъяты)</w:t>
      </w:r>
      <w:r>
        <w:t xml:space="preserve"> </w:t>
      </w:r>
      <w:r>
        <w:t>Сага</w:t>
      </w:r>
      <w:r w:rsidR="00316FB6">
        <w:t>нджи</w:t>
      </w:r>
      <w:r w:rsidR="00316FB6">
        <w:t xml:space="preserve"> М.Ф.</w:t>
      </w:r>
      <w:r>
        <w:t xml:space="preserve">  </w:t>
      </w:r>
      <w:r w:rsidR="00993325">
        <w:t>(данные изъяты)</w:t>
      </w:r>
      <w:r>
        <w:t xml:space="preserve">, </w:t>
      </w:r>
      <w:r w:rsidRPr="006A7047" w:rsidR="003361D6">
        <w:t>находясь</w:t>
      </w:r>
      <w:r w:rsidRPr="006A7047" w:rsidR="00266D23">
        <w:t xml:space="preserve"> </w:t>
      </w:r>
      <w:r>
        <w:t xml:space="preserve">во дворе </w:t>
      </w:r>
      <w:r w:rsidR="00993325">
        <w:t>(данные изъяты)</w:t>
      </w:r>
      <w:r w:rsidR="00316FB6">
        <w:t xml:space="preserve">, нанес несколько ударов по голове гр. </w:t>
      </w:r>
      <w:r w:rsidR="00993325">
        <w:t>(данные изъяты)</w:t>
      </w:r>
      <w:r w:rsidR="00316FB6">
        <w:t xml:space="preserve">, чем 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судебном заседани</w:t>
      </w:r>
      <w:r w:rsidRPr="006A7047" w:rsidR="00FE5762">
        <w:rPr>
          <w:shd w:val="clear" w:color="auto" w:fill="FFFFFF"/>
        </w:rPr>
        <w:t>и</w:t>
      </w:r>
      <w:r w:rsidRPr="006A7047" w:rsidR="000E4104">
        <w:rPr>
          <w:shd w:val="clear" w:color="auto" w:fill="FFFFFF"/>
        </w:rPr>
        <w:t xml:space="preserve"> </w:t>
      </w:r>
      <w:r w:rsidR="00316FB6">
        <w:t xml:space="preserve">Саганджи М.Ф.  </w:t>
      </w:r>
      <w:r w:rsidRPr="006A7047">
        <w:rPr>
          <w:shd w:val="clear" w:color="auto" w:fill="FFFFFF"/>
        </w:rPr>
        <w:t>вину признал</w:t>
      </w:r>
      <w:r w:rsidRPr="006A7047" w:rsidR="000E4104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содеянном раскаял</w:t>
      </w:r>
      <w:r w:rsidRPr="006A7047" w:rsidR="00EB6795">
        <w:rPr>
          <w:shd w:val="clear" w:color="auto" w:fill="FFFFFF"/>
        </w:rPr>
        <w:t>ся</w:t>
      </w:r>
      <w:r w:rsidRPr="006A7047">
        <w:rPr>
          <w:shd w:val="clear" w:color="auto" w:fill="FFFFFF"/>
        </w:rPr>
        <w:t>.</w:t>
      </w:r>
    </w:p>
    <w:p w:rsidR="00316FB6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Потерпевш</w:t>
      </w:r>
      <w:r>
        <w:rPr>
          <w:shd w:val="clear" w:color="auto" w:fill="FFFFFF"/>
        </w:rPr>
        <w:t>ий</w:t>
      </w:r>
      <w:r w:rsidRPr="006A7047" w:rsidR="00FD5D02">
        <w:rPr>
          <w:shd w:val="clear" w:color="auto" w:fill="FFFFFF"/>
        </w:rPr>
        <w:t xml:space="preserve"> </w:t>
      </w:r>
      <w:r w:rsidR="00993325">
        <w:t>(данные изъяты)</w:t>
      </w:r>
      <w:r w:rsidR="00993325">
        <w:t xml:space="preserve"> </w:t>
      </w:r>
      <w:r w:rsidRPr="006A7047">
        <w:rPr>
          <w:shd w:val="clear" w:color="auto" w:fill="FFFFFF"/>
        </w:rPr>
        <w:t>в судебное заседание не явил</w:t>
      </w:r>
      <w:r w:rsidR="00271CF8">
        <w:rPr>
          <w:shd w:val="clear" w:color="auto" w:fill="FFFFFF"/>
        </w:rPr>
        <w:t xml:space="preserve">ся, </w:t>
      </w:r>
      <w:r w:rsidR="001A043B">
        <w:rPr>
          <w:shd w:val="clear" w:color="auto" w:fill="FFFFFF"/>
        </w:rPr>
        <w:t>в ходатайстве</w:t>
      </w:r>
      <w:r w:rsidR="00271CF8">
        <w:rPr>
          <w:shd w:val="clear" w:color="auto" w:fill="FFFFFF"/>
        </w:rPr>
        <w:t xml:space="preserve"> </w:t>
      </w:r>
      <w:r w:rsidR="001A043B">
        <w:rPr>
          <w:shd w:val="clear" w:color="auto" w:fill="FFFFFF"/>
        </w:rPr>
        <w:t>просил  рассмотреть дело</w:t>
      </w:r>
      <w:r w:rsidR="00271CF8">
        <w:rPr>
          <w:shd w:val="clear" w:color="auto" w:fill="FFFFFF"/>
        </w:rPr>
        <w:t xml:space="preserve"> об административном правонарушении в его отсутствие, назначить </w:t>
      </w:r>
      <w:r w:rsidR="001A043B">
        <w:rPr>
          <w:shd w:val="clear" w:color="auto" w:fill="FFFFFF"/>
        </w:rPr>
        <w:t xml:space="preserve">                </w:t>
      </w:r>
      <w:r w:rsidR="00271CF8">
        <w:t>Саганджи М.Ф.  максимальное наказание.</w:t>
      </w:r>
    </w:p>
    <w:p w:rsidR="00041840" w:rsidRPr="00041840" w:rsidP="00041840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426362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Вина </w:t>
      </w:r>
      <w:r>
        <w:t>Саганджи М.Ф</w:t>
      </w:r>
      <w:r w:rsidRPr="006A7047" w:rsidR="003361D6">
        <w:t>.</w:t>
      </w:r>
      <w:r w:rsidRPr="006A7047">
        <w:rPr>
          <w:shd w:val="clear" w:color="auto" w:fill="FFFFFF"/>
        </w:rPr>
        <w:t>, кроме признания</w:t>
      </w:r>
      <w:r w:rsidRPr="006A7047" w:rsidR="003361D6">
        <w:rPr>
          <w:shd w:val="clear" w:color="auto" w:fill="FFFFFF"/>
        </w:rPr>
        <w:t xml:space="preserve"> </w:t>
      </w:r>
      <w:r w:rsidRPr="006A7047" w:rsidR="00EB6795">
        <w:rPr>
          <w:shd w:val="clear" w:color="auto" w:fill="FFFFFF"/>
        </w:rPr>
        <w:t>его</w:t>
      </w:r>
      <w:r w:rsidRPr="006A7047" w:rsidR="003361D6">
        <w:rPr>
          <w:shd w:val="clear" w:color="auto" w:fill="FFFFFF"/>
        </w:rPr>
        <w:t xml:space="preserve"> вины</w:t>
      </w:r>
      <w:r w:rsidRPr="006A7047">
        <w:rPr>
          <w:shd w:val="clear" w:color="auto" w:fill="FFFFFF"/>
        </w:rPr>
        <w:t>, также подтверждается следующими письменными 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993325">
        <w:t>(данные изъяты)</w:t>
      </w:r>
      <w:r>
        <w:rPr>
          <w:shd w:val="clear" w:color="auto" w:fill="FFFFFF"/>
        </w:rPr>
        <w:t>;</w:t>
      </w:r>
      <w:r w:rsidRPr="006A7047" w:rsidR="0000773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протоколом осмотра места происшествия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 w:rsidR="00993325">
        <w:t>(</w:t>
      </w:r>
      <w:r w:rsidR="00993325">
        <w:t>данные</w:t>
      </w:r>
      <w:r w:rsidR="00993325">
        <w:t xml:space="preserve"> изъяты)</w:t>
      </w:r>
      <w:r>
        <w:rPr>
          <w:shd w:val="clear" w:color="auto" w:fill="FFFFFF"/>
        </w:rPr>
        <w:t xml:space="preserve">; планом-схемой к протоколу ОМП от </w:t>
      </w:r>
      <w:r w:rsidR="00993325">
        <w:t>(данные изъяты)</w:t>
      </w:r>
      <w:r>
        <w:rPr>
          <w:shd w:val="clear" w:color="auto" w:fill="FFFFFF"/>
        </w:rPr>
        <w:t xml:space="preserve">; постановлением о назначении судебно-медицинской экспертизы;  копией справки о травме </w:t>
      </w:r>
      <w:r w:rsidR="00993325">
        <w:t>(данные изъяты)</w:t>
      </w:r>
      <w:r>
        <w:rPr>
          <w:shd w:val="clear" w:color="auto" w:fill="FFFFFF"/>
        </w:rPr>
        <w:t xml:space="preserve">; объяснением </w:t>
      </w:r>
      <w:r>
        <w:rPr>
          <w:shd w:val="clear" w:color="auto" w:fill="FFFFFF"/>
        </w:rPr>
        <w:t>Саганджи</w:t>
      </w:r>
      <w:r>
        <w:rPr>
          <w:shd w:val="clear" w:color="auto" w:fill="FFFFFF"/>
        </w:rPr>
        <w:t xml:space="preserve"> М.Ф.; объяснением </w:t>
      </w:r>
      <w:r w:rsidR="00993325">
        <w:t>(данные изъяты)</w:t>
      </w:r>
      <w:r>
        <w:rPr>
          <w:shd w:val="clear" w:color="auto" w:fill="FFFFFF"/>
        </w:rPr>
        <w:t xml:space="preserve">.; объяснением </w:t>
      </w:r>
      <w:r w:rsidR="00993325">
        <w:t>(данные изъяты</w:t>
      </w:r>
      <w:r w:rsidR="00993325">
        <w:t>)</w:t>
      </w:r>
      <w:r>
        <w:rPr>
          <w:shd w:val="clear" w:color="auto" w:fill="FFFFFF"/>
        </w:rPr>
        <w:t>р</w:t>
      </w:r>
      <w:r>
        <w:rPr>
          <w:shd w:val="clear" w:color="auto" w:fill="FFFFFF"/>
        </w:rPr>
        <w:t xml:space="preserve">апортом сотрудника полиции </w:t>
      </w:r>
      <w:r w:rsidR="00993325">
        <w:t>(данные изъяты)</w:t>
      </w:r>
      <w:r>
        <w:rPr>
          <w:shd w:val="clear" w:color="auto" w:fill="FFFFFF"/>
        </w:rPr>
        <w:t>.; заключением эксперта №</w:t>
      </w:r>
      <w:r w:rsidR="00993325">
        <w:t>(данные изъяты)</w:t>
      </w:r>
      <w:r w:rsidR="00774515">
        <w:rPr>
          <w:shd w:val="clear" w:color="auto" w:fill="FFFFFF"/>
        </w:rPr>
        <w:t>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6A7047">
        <w:rPr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3F6B86">
        <w:t>Саганджи М.Ф</w:t>
      </w:r>
      <w:r w:rsidRPr="006A7047" w:rsidR="003F6B86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3F6B86">
        <w:t>Саганджи М.Ф.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Смягчающим административную ответственность обстоятельством </w:t>
      </w:r>
      <w:r w:rsidRPr="006A7047" w:rsidR="00447FD0">
        <w:rPr>
          <w:shd w:val="clear" w:color="auto" w:fill="FFFFFF"/>
        </w:rPr>
        <w:t xml:space="preserve">суд учитывает  </w:t>
      </w:r>
      <w:r w:rsidRPr="006A7047">
        <w:rPr>
          <w:shd w:val="clear" w:color="auto" w:fill="FFFFFF"/>
        </w:rPr>
        <w:t>признание вины, раскаяние в содеянном.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3F6B86">
        <w:t>Саганджи М.Ф.</w:t>
      </w:r>
      <w:r w:rsidRPr="006A7047" w:rsidR="003F6B86">
        <w:rPr>
          <w:shd w:val="clear" w:color="auto" w:fill="FFFFFF"/>
        </w:rPr>
        <w:t xml:space="preserve">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>
      <w:pPr>
        <w:ind w:firstLine="851"/>
        <w:contextualSpacing/>
        <w:jc w:val="both"/>
      </w:pPr>
    </w:p>
    <w:p w:rsidR="002F6C3A" w:rsidRPr="006A7047" w:rsidP="002F6C3A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2F6C3A" w:rsidRPr="006A7047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Признать </w:t>
      </w:r>
      <w:r w:rsidR="00993325">
        <w:t>Саганджи</w:t>
      </w:r>
      <w:r w:rsidR="00993325">
        <w:t xml:space="preserve"> М. Ф.</w:t>
      </w:r>
      <w:r w:rsidR="003F6B86">
        <w:rPr>
          <w:b/>
        </w:rPr>
        <w:t xml:space="preserve">, </w:t>
      </w:r>
      <w:r w:rsidR="00993325">
        <w:t>(данные изъяты)</w:t>
      </w:r>
      <w:r w:rsidRPr="006A7047">
        <w:t>,</w:t>
      </w:r>
      <w:r w:rsidRPr="006A7047">
        <w:rPr>
          <w:shd w:val="clear" w:color="auto" w:fill="FFFFFF"/>
        </w:rPr>
        <w:t xml:space="preserve"> виновн</w:t>
      </w:r>
      <w:r w:rsidRPr="006A7047" w:rsidR="00167C0A">
        <w:rPr>
          <w:shd w:val="clear" w:color="auto" w:fill="FFFFFF"/>
        </w:rPr>
        <w:t>ым</w:t>
      </w:r>
      <w:r w:rsidRPr="006A7047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6A7047" w:rsidR="00167C0A">
        <w:rPr>
          <w:shd w:val="clear" w:color="auto" w:fill="FFFFFF"/>
        </w:rPr>
        <w:t>ему</w:t>
      </w:r>
      <w:r w:rsidRPr="006A7047">
        <w:rPr>
          <w:shd w:val="clear" w:color="auto" w:fill="FFFFFF"/>
        </w:rPr>
        <w:t xml:space="preserve"> наказание в виде административного штрафа в размере </w:t>
      </w:r>
      <w:r w:rsidR="00993325">
        <w:t>(данные изъяты)</w:t>
      </w:r>
      <w:r w:rsidR="00993325">
        <w:t>.</w:t>
      </w:r>
    </w:p>
    <w:p w:rsidR="002016A0" w:rsidRPr="006A7047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6A7047" w:rsidP="002F6C3A">
      <w:pPr>
        <w:ind w:firstLine="851"/>
        <w:jc w:val="both"/>
      </w:pPr>
      <w:r w:rsidRPr="006A7047">
        <w:t xml:space="preserve">Сумму штрафа необходимо внести: </w:t>
      </w:r>
      <w:r w:rsidR="00993325">
        <w:t>(данные изъяты)</w:t>
      </w:r>
    </w:p>
    <w:p w:rsidR="002F6C3A" w:rsidRPr="006A7047" w:rsidP="002F6C3A">
      <w:pPr>
        <w:ind w:firstLine="851"/>
        <w:jc w:val="both"/>
      </w:pPr>
      <w:r w:rsidRPr="006A7047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>
      <w:pPr>
        <w:ind w:firstLine="851"/>
        <w:jc w:val="both"/>
      </w:pPr>
    </w:p>
    <w:p w:rsidR="002F6C3A" w:rsidRPr="006A7047" w:rsidP="002016A0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 </w:t>
      </w:r>
      <w:r w:rsidR="006A7047">
        <w:t xml:space="preserve">                        </w:t>
      </w:r>
      <w:r w:rsidRPr="006A7047">
        <w:t>А.А. Кулунчаков</w:t>
      </w:r>
    </w:p>
    <w:p w:rsidR="001F31D7" w:rsidRPr="006A7047" w:rsidP="002F6C3A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0F2C36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F6C3A"/>
    <w:rsid w:val="00316FB6"/>
    <w:rsid w:val="00323C72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D2227"/>
    <w:rsid w:val="004E4824"/>
    <w:rsid w:val="00507F9F"/>
    <w:rsid w:val="00511B24"/>
    <w:rsid w:val="00517B72"/>
    <w:rsid w:val="00525DB2"/>
    <w:rsid w:val="00543C81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93325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E28CB"/>
    <w:rsid w:val="00AE2E14"/>
    <w:rsid w:val="00AE3A92"/>
    <w:rsid w:val="00B2396A"/>
    <w:rsid w:val="00B34A9B"/>
    <w:rsid w:val="00B40725"/>
    <w:rsid w:val="00B5687F"/>
    <w:rsid w:val="00BA1E9E"/>
    <w:rsid w:val="00BC7B76"/>
    <w:rsid w:val="00C0779B"/>
    <w:rsid w:val="00C73B4B"/>
    <w:rsid w:val="00CA6D55"/>
    <w:rsid w:val="00CB5299"/>
    <w:rsid w:val="00CD2012"/>
    <w:rsid w:val="00CD60D8"/>
    <w:rsid w:val="00CF0BBD"/>
    <w:rsid w:val="00D15604"/>
    <w:rsid w:val="00D16B2B"/>
    <w:rsid w:val="00D36DE2"/>
    <w:rsid w:val="00D372B0"/>
    <w:rsid w:val="00D375C3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EB6795"/>
    <w:rsid w:val="00EE4255"/>
    <w:rsid w:val="00EF785D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