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5-64-</w:t>
      </w:r>
      <w:r>
        <w:rPr>
          <w:rFonts w:ascii="Times New Roman" w:eastAsia="Times New Roman" w:hAnsi="Times New Roman" w:cs="Times New Roman"/>
          <w:sz w:val="28"/>
          <w:szCs w:val="28"/>
        </w:rPr>
        <w:t>383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414"/>
        <w:rPr>
          <w:sz w:val="28"/>
          <w:szCs w:val="28"/>
        </w:rPr>
      </w:pPr>
      <w:r>
        <w:rPr>
          <w:rStyle w:val="cat-Dategrp-1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414"/>
        <w:rPr>
          <w:sz w:val="28"/>
          <w:szCs w:val="28"/>
        </w:rPr>
      </w:pPr>
    </w:p>
    <w:p>
      <w:pPr>
        <w:spacing w:before="0" w:after="0"/>
        <w:ind w:firstLine="41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64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14"/>
        <w:jc w:val="both"/>
        <w:rPr>
          <w:sz w:val="28"/>
          <w:szCs w:val="28"/>
        </w:rPr>
      </w:pPr>
    </w:p>
    <w:p>
      <w:pPr>
        <w:spacing w:before="0" w:after="0"/>
        <w:ind w:firstLine="414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3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0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зарегистрированном браке,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высшее 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отдела по вопросам ЧС, ГО и профилактики терроризма администрации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17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 ОНД ГУ МЧС России по Нижнегорскому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плановой выездной проверки администрации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9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должностное лицо начальник отдела по вопросам ЧС, ГО и профилактики терроризма администрации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нарушил обязательные требования нормативных правовых актов РФ в сфере гражданской обороны,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обеспечена установка специализированных технических средств оповещения и информирования населения в местах массового пребывания людей в населенных пунктах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 (за исключением смонтированных 2 электросирены в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 электросирена в </w:t>
      </w:r>
      <w:r>
        <w:rPr>
          <w:rStyle w:val="cat-Addressgrp-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 электросирена в </w:t>
      </w:r>
      <w:r>
        <w:rPr>
          <w:rStyle w:val="cat-Addressgrp-8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(ст. 2, ч. 2 ст. 8 Федерального закона от </w:t>
      </w:r>
      <w:r>
        <w:rPr>
          <w:rStyle w:val="cat-Dategrp-1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28-ФЗ «О гражданской обороне»; п. 3, п. 8 Постановления Правительства РФ от </w:t>
      </w:r>
      <w:r>
        <w:rPr>
          <w:rStyle w:val="cat-Dategrp-2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804 «Об утверждении Положения о гражданской обороне в РФ»; п. 7, п. 5.12 Приказа МЧС РФ от </w:t>
      </w:r>
      <w:r>
        <w:rPr>
          <w:rStyle w:val="cat-Dategrp-2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вопросам ЧС, ГО и профилактики терроризма администрации 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приняла всех необходимых мер в сфере обеспечения выполнения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 о гражданской обороне, чем нарушил требования указанного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 законодательства,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усматривается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20.7 КоАП РФ.</w:t>
      </w:r>
    </w:p>
    <w:p>
      <w:pPr>
        <w:spacing w:before="0" w:after="0"/>
        <w:ind w:right="7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Style w:val="cat-FIOgrp-3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и времени слушания дела,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 письменное заявление в котором вину в совершении административного правонарушения полностью признал и просил рассмотреть административное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связи с чем, мировой судья признает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явку, не обязательной, а имеющиеся материалы дела, достаточными для рассмотрения дела по существу, по имеющимся доказательствам, поскольку </w:t>
      </w:r>
      <w:r>
        <w:rPr>
          <w:rStyle w:val="cat-FIOgrp-3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 письменных возражений и ходатайств об отложении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Style w:val="cat-FIOgrp-3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признания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20.7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</w:t>
      </w:r>
      <w:r>
        <w:rPr>
          <w:rFonts w:ascii="Times New Roman" w:eastAsia="Times New Roman" w:hAnsi="Times New Roman" w:cs="Times New Roman"/>
          <w:sz w:val="28"/>
          <w:szCs w:val="28"/>
        </w:rPr>
        <w:t>на исследовавшимися материалами дела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17/2021/4-ГО от </w:t>
      </w:r>
      <w:r>
        <w:rPr>
          <w:rStyle w:val="cat-Dategrp-1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3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20.7 КоАП РФ;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 от </w:t>
      </w:r>
      <w:r>
        <w:rPr>
          <w:rStyle w:val="cat-Dategrp-1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администрации </w:t>
      </w:r>
      <w:r>
        <w:rPr>
          <w:rStyle w:val="cat-Addressgrp-2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Уставом администрации 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 по вопросам по вопросам ЧС, ГО и профилактики терроризма администрации </w:t>
      </w:r>
      <w:r>
        <w:rPr>
          <w:rStyle w:val="cat-Addressgrp-2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 от </w:t>
      </w:r>
      <w:r>
        <w:rPr>
          <w:rStyle w:val="cat-Dategrp-2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распоряжением администрации </w:t>
      </w:r>
      <w:r>
        <w:rPr>
          <w:rStyle w:val="cat-Addressgrp-2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3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23-л;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распоряжением администрации </w:t>
      </w:r>
      <w:r>
        <w:rPr>
          <w:rStyle w:val="cat-Addressgrp-2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837-р от </w:t>
      </w:r>
      <w:r>
        <w:rPr>
          <w:rStyle w:val="cat-Dategrp-2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проверки № 4 от </w:t>
      </w:r>
      <w:r>
        <w:rPr>
          <w:rStyle w:val="cat-Dategrp-18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плановой выездной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от </w:t>
      </w:r>
      <w:r>
        <w:rPr>
          <w:rStyle w:val="cat-Dategrp-25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2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отметкой о его получении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Style w:val="cat-Dategrp-25rplc-44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 вышеуказанных доказательств не вызывает у суда сомнений, поскольку они не противоречивы, согласуются между собой, материал об административном правонарушении составлен в соответствии с требованиями закона, права лица, привлекаемого к административной ответственности, соблюдены.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влечет наложение административного штрафа на должностных лиц в размере от пяти тысяч до </w:t>
      </w:r>
      <w:r>
        <w:rPr>
          <w:rStyle w:val="cat-SumInWordsgrp-36rplc-4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на юридических лиц - от пятидесяти тысяч до </w:t>
      </w:r>
      <w:r>
        <w:rPr>
          <w:rStyle w:val="cat-SumInWordsgrp-37rplc-4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указанного состава состоит в том, что виновный не выполнил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подлежат выяснению, в частности виновность лица в 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шении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м, н, в, 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 ст. 11 Федерального закона от </w:t>
      </w:r>
      <w:r>
        <w:rPr>
          <w:rStyle w:val="cat-Dategrp-26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 местного самоуправления самостоятельно: создают и поддерживают в постоянной готовности муниципальные системы оповещения и информирования населения о чрезвычайных ситуациях;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ситуаций, а также самостоятельно осуществляют информирование населения о чрезвычайных ситуациях, финансирование мероприятий в области защиты населения и территорий от чрезвычайных ситуаций.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ст. 24 Федерального закона от </w:t>
      </w:r>
      <w:r>
        <w:rPr>
          <w:rStyle w:val="cat-Dategrp-26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определено, что финансовое обеспечение мер по предупреждению и ликвидации последствий чрезвычайных ситуаций 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8 Федерального закона от </w:t>
      </w:r>
      <w:r>
        <w:rPr>
          <w:rStyle w:val="cat-Dategrp-19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 местного самоуправления самостоятельно в пределах границ муниципальных образований: проводят мероприятия по гражданской обороне, разрабатывают и реализовывают планы гражданской обороны и защиты населения; создают и поддерживают в состоянии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 Федерального закона от </w:t>
      </w:r>
      <w:r>
        <w:rPr>
          <w:rStyle w:val="cat-Dategrp-26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функционирования единой государственной системы предупреждения и ликвидации чрезвычайных ситуаций определен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</w:t>
      </w:r>
      <w:r>
        <w:rPr>
          <w:rStyle w:val="cat-Dategrp-27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794, в силу пункта 2 которого единая система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68-ФЗ.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3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794 единая система, состоящая из функциональных и территориальных подсистем, действует на федеральном, межрегиональном, региональном, муниципальном и объектовом уровнях.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6 этого же Положения предусмотрено, что на каждом уровне единой 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 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только на региональном, муниципальном и объектовом уровнях единой системы.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4 Положения о системах оповещения населения, утвержденного совместным приказом МЧС РФ, Министерства цифрового развития, связи и массовых коммуникаций РФ от </w:t>
      </w:r>
      <w:r>
        <w:rPr>
          <w:rStyle w:val="cat-Dategrp-28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578/365, определяет назначение,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требования к системам оповещения населения, порядок их задействования и поддержания в состоянии постоянной готовности. Создание и поддержание в состоянии постоянной готовности систем оповещения населения является составной частью комплекса мероприятий, проводимых органами государственной власти субъектов Российской Федерации, органами местного самоуправления и организациями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 25 указанного Положения - поддержание региональных, муниципальных и локальных систем оповещения в готовности организуется и осуществляется органами государственной власти субъектов Российской Федерации, органами местного самоуправления и организациями, перечисленными в пункте 7 настоящего Положения.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26 Положения определено, что готовность систем оповещения населения достигается: 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 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 наличием технического обслуживающего персонала, отвечающего за поддержани</w:t>
      </w:r>
      <w:r>
        <w:rPr>
          <w:rFonts w:ascii="Times New Roman" w:eastAsia="Times New Roman" w:hAnsi="Times New Roman" w:cs="Times New Roman"/>
          <w:sz w:val="28"/>
          <w:szCs w:val="28"/>
        </w:rPr>
        <w:t>е в готовности технических средств оповещения, и уровнем его профессиональной подготовки; наличием, исправностью и соответствием проектно-сметной документации на систему оповещения населения технических средств оповещения;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 регулярным проведением проверок готовности систем оповещения населения;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 наличием, соответствием законодательству Российской Федерации и обеспечением готовности к использованию резервов средств оповещения; своевременным проведением мероприятий по созданию, в том числе совершенствованию, систем оповещения населения.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7.1 и 8 ч. 1 ст. 14 Федерального закона от </w:t>
      </w:r>
      <w:r>
        <w:rPr>
          <w:rStyle w:val="cat-Dategrp-29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вопросам местного значения поселения относятся участие в профилактике терроризма и экстремизма, а также в минимизации и (или) ликвидации последствий появления терроризма и экстремизма в границах поселения; участие в предупреждении и ликвидации последствий чрезвычайных ситуаций в границах поселения.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15.2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</w:t>
      </w:r>
      <w:r>
        <w:rPr>
          <w:rStyle w:val="cat-Dategrp-21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687, органы местного самоуправления в целях решения задач в области гражданской обороны планируют и осуществляют следующие основные мероприятия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установку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усматривается из материалов дела, </w:t>
      </w:r>
      <w:r>
        <w:rPr>
          <w:rStyle w:val="cat-Dategrp-18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о проведении плановой выездной проверки от </w:t>
      </w:r>
      <w:r>
        <w:rPr>
          <w:rStyle w:val="cat-Dategrp-25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ОНД ГУ МЧС России по Нижнегорскому </w:t>
      </w:r>
      <w:r>
        <w:rPr>
          <w:rStyle w:val="cat-Addressgrp-1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2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 проведена проверка исполнения требований законодательства РФ в области гражданской обороны.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были составлен акт № 4 от </w:t>
      </w:r>
      <w:r>
        <w:rPr>
          <w:rStyle w:val="cat-Dategrp-18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были выявлены нарушения обязательных требований в области гражданской обороны,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обеспечена установка специализированных технических средств оповещения и информирования населения в местах массового пребывания людей в населенных пунктах </w:t>
      </w:r>
      <w:r>
        <w:rPr>
          <w:rStyle w:val="cat-Addressgrp-5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 (за исключением смонтированных 2 электросирены в </w:t>
      </w:r>
      <w:r>
        <w:rPr>
          <w:rStyle w:val="cat-Addressgrp-6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 электросирена в </w:t>
      </w:r>
      <w:r>
        <w:rPr>
          <w:rStyle w:val="cat-Addressgrp-7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 электросирена в </w:t>
      </w:r>
      <w:r>
        <w:rPr>
          <w:rStyle w:val="cat-Addressgrp-8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(ст. 2, ч. 2 ст. 8 Федерального закона от </w:t>
      </w:r>
      <w:r>
        <w:rPr>
          <w:rStyle w:val="cat-Dategrp-19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28-ФЗ «О гражданской обороне»; п. 3, п. 8 Постановления Правительства РФ от </w:t>
      </w:r>
      <w:r>
        <w:rPr>
          <w:rStyle w:val="cat-Dategrp-20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804 «Об утверждении Положения о гражданской обороне в РФ»; п. 7, п. 5.12 Приказа МЧС РФ от </w:t>
      </w:r>
      <w:r>
        <w:rPr>
          <w:rStyle w:val="cat-Dategrp-21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>
        <w:rPr>
          <w:rStyle w:val="cat-Dategrp-17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Style w:val="cat-FIOgrp-34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по вопросам по вопросам ЧС, ГО и профилактики терроризма администрации </w:t>
      </w:r>
      <w:r>
        <w:rPr>
          <w:rStyle w:val="cat-Addressgrp-2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20.7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Кодекса.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Style w:val="cat-Addressgrp-2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Style w:val="cat-Addressgrp-2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исполнительно-распорядительным органом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Положению об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 вопросам ЧС, ГО и профилактики терроризма администрации </w:t>
      </w:r>
      <w:r>
        <w:rPr>
          <w:rStyle w:val="cat-Addressgrp-2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Style w:val="cat-Addressgrp-2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0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359, с изменениями от </w:t>
      </w:r>
      <w:r>
        <w:rPr>
          <w:rStyle w:val="cat-Dategrp-22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по вопросам по вопросам ЧС, ГО и профилактики терроризма администрации </w:t>
      </w:r>
      <w:r>
        <w:rPr>
          <w:rStyle w:val="cat-Addressgrp-2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структурным подразделением администрации </w:t>
      </w:r>
      <w:r>
        <w:rPr>
          <w:rStyle w:val="cat-Addressgrp-2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создан с 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эффективной политики администрации </w:t>
      </w:r>
      <w:r>
        <w:rPr>
          <w:rStyle w:val="cat-Addressgrp-2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связанным с осуществлением мероприятий по гражданской обороне, защите населения и территорий от </w:t>
      </w:r>
      <w:r>
        <w:rPr>
          <w:rFonts w:ascii="Times New Roman" w:eastAsia="Times New Roman" w:hAnsi="Times New Roman" w:cs="Times New Roman"/>
          <w:sz w:val="28"/>
          <w:szCs w:val="28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, охране труда, профилактике терроризма.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распоряжению администрации </w:t>
      </w:r>
      <w:r>
        <w:rPr>
          <w:rStyle w:val="cat-Addressgrp-2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3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23-Л, </w:t>
      </w:r>
      <w:r>
        <w:rPr>
          <w:rStyle w:val="cat-FIOgrp-33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23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 на должность 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 вопросам ЧС, ГО и профилактики терроризма администрации </w:t>
      </w:r>
      <w:r>
        <w:rPr>
          <w:rStyle w:val="cat-Addressgrp-2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должностным лицом, на которого в соответствии с действующими нормами законодательства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исполнению требований законодательства РФ в области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являлся </w:t>
      </w:r>
      <w:r>
        <w:rPr>
          <w:rStyle w:val="cat-FIOgrp-33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 опровергающих данный факт, суду не предоставлено.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 не имеется оснований не доверять доказательствам, собранным по делу, все доказательства суд в силу ч.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допустимыми.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обстоятельства подтверждены совокупностью имеющихся в материалах дела доказательств,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факт правонарушения свидетельствует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 вопросам ЧС, ГО и профилактики терроризма администрации </w:t>
      </w:r>
      <w:r>
        <w:rPr>
          <w:rStyle w:val="cat-Addressgrp-2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приняты все зависящие от него меры по соблюдению требований, предусмотренных законодательством в области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установки специализированных технических средств оповещения и информирования населения в местах массового пребывания людей в необходимом количестве.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 отсутствия возможности и наличия объективных обстоятельств, препятствующих выполнению установленных законодательством обязанностей, не представлено. Чрезвычайных и непредотвратимых обстоятельств, исключающих возможность соблюдения действующих норм и правил,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Недостаточное бюджетное финансирование не является основанием для освобождения от исполнения обязанностей по соблюдению требований законодательства в области гражданской обороны.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выводу, что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 вопросам ЧС, ГО и профилактики терроризма администрации </w:t>
      </w:r>
      <w:r>
        <w:rPr>
          <w:rStyle w:val="cat-Addressgrp-2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одлежат </w:t>
      </w:r>
      <w:r>
        <w:rPr>
          <w:rFonts w:ascii="Times New Roman" w:eastAsia="Times New Roman" w:hAnsi="Times New Roman" w:cs="Times New Roman"/>
          <w:sz w:val="28"/>
          <w:szCs w:val="28"/>
        </w:rPr>
        <w:t>квалифи</w:t>
      </w:r>
      <w:r>
        <w:rPr>
          <w:rFonts w:ascii="Times New Roman" w:eastAsia="Times New Roman" w:hAnsi="Times New Roman" w:cs="Times New Roman"/>
          <w:sz w:val="28"/>
          <w:szCs w:val="28"/>
        </w:rPr>
        <w:t>кации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смягчающим административную ответственность обстоятельствам, согласно п. 1 ч. 1 ст. 4.2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относит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содеянном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смягчающие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наказания </w:t>
      </w:r>
      <w:r>
        <w:rPr>
          <w:rStyle w:val="cat-FIOgrp-34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минимальное наказание предусмотренное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3.8, 4.1-4.3, </w:t>
      </w:r>
      <w:r>
        <w:rPr>
          <w:rFonts w:ascii="Times New Roman" w:eastAsia="Times New Roman" w:hAnsi="Times New Roman" w:cs="Times New Roman"/>
          <w:sz w:val="28"/>
          <w:szCs w:val="28"/>
        </w:rPr>
        <w:t>20.7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29.9 - 29.11. КоАП РФ,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–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профилактики терроризма администрации </w:t>
      </w:r>
      <w:r>
        <w:rPr>
          <w:rStyle w:val="cat-Addressgrp-11rplc-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штрафа в размере </w:t>
      </w:r>
      <w:r>
        <w:rPr>
          <w:rStyle w:val="cat-Sumgrp-39rplc-9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административного штрафа: получателю УФК по РК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</w:t>
      </w:r>
      <w:r>
        <w:rPr>
          <w:rStyle w:val="cat-Addressgrp-1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</w:t>
      </w:r>
      <w:r>
        <w:rPr>
          <w:rFonts w:ascii="Times New Roman" w:eastAsia="Times New Roman" w:hAnsi="Times New Roman" w:cs="Times New Roman"/>
          <w:sz w:val="28"/>
          <w:szCs w:val="28"/>
        </w:rPr>
        <w:t>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41rplc-9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42rplc-9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единый к/с 40102810645370000035, к/с 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по </w:t>
      </w:r>
      <w:r>
        <w:rPr>
          <w:rStyle w:val="cat-Addressgrp-1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12rplc-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43rplc-9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82811601203010007140, КСР </w:t>
      </w:r>
      <w:r>
        <w:rPr>
          <w:rStyle w:val="cat-PhoneNumbergrp-44rplc-9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штрафа необходимо предоставить в Мировой суд судебного участка № 64 Нижнегорского судебного района (Нижнегорский муниципальный район) </w:t>
      </w:r>
      <w:r>
        <w:rPr>
          <w:rStyle w:val="cat-Addressgrp-1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13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8rplc-10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1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64 Нижнегорского судебного района (Нижнегорский муниципальный район) </w:t>
      </w:r>
      <w:r>
        <w:rPr>
          <w:rStyle w:val="cat-Addressgrp-1rplc-1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14rplc-1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5rplc-10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35rplc-10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1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6rplc-0">
    <w:name w:val="cat-Date grp-1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1rplc-3">
    <w:name w:val="cat-FIO grp-31 rplc-3"/>
    <w:basedOn w:val="DefaultParagraphFont"/>
  </w:style>
  <w:style w:type="character" w:customStyle="1" w:styleId="cat-FIOgrp-32rplc-4">
    <w:name w:val="cat-FIO grp-32 rplc-4"/>
    <w:basedOn w:val="DefaultParagraphFont"/>
  </w:style>
  <w:style w:type="character" w:customStyle="1" w:styleId="cat-PassportDatagrp-40rplc-5">
    <w:name w:val="cat-PassportData grp-4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17rplc-8">
    <w:name w:val="cat-Date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18rplc-11">
    <w:name w:val="cat-Date grp-18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9rplc-13">
    <w:name w:val="cat-Address grp-9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33rplc-15">
    <w:name w:val="cat-FIO grp-33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Dategrp-19rplc-20">
    <w:name w:val="cat-Date grp-19 rplc-20"/>
    <w:basedOn w:val="DefaultParagraphFont"/>
  </w:style>
  <w:style w:type="character" w:customStyle="1" w:styleId="cat-Dategrp-20rplc-21">
    <w:name w:val="cat-Date grp-20 rplc-21"/>
    <w:basedOn w:val="DefaultParagraphFont"/>
  </w:style>
  <w:style w:type="character" w:customStyle="1" w:styleId="cat-Dategrp-21rplc-22">
    <w:name w:val="cat-Date grp-21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FIOgrp-33rplc-24">
    <w:name w:val="cat-FIO grp-33 rplc-24"/>
    <w:basedOn w:val="DefaultParagraphFont"/>
  </w:style>
  <w:style w:type="character" w:customStyle="1" w:styleId="cat-FIOgrp-33rplc-25">
    <w:name w:val="cat-FIO grp-33 rplc-25"/>
    <w:basedOn w:val="DefaultParagraphFont"/>
  </w:style>
  <w:style w:type="character" w:customStyle="1" w:styleId="cat-FIOgrp-33rplc-26">
    <w:name w:val="cat-FIO grp-33 rplc-26"/>
    <w:basedOn w:val="DefaultParagraphFont"/>
  </w:style>
  <w:style w:type="character" w:customStyle="1" w:styleId="cat-FIOgrp-34rplc-27">
    <w:name w:val="cat-FIO grp-34 rplc-27"/>
    <w:basedOn w:val="DefaultParagraphFont"/>
  </w:style>
  <w:style w:type="character" w:customStyle="1" w:styleId="cat-FIOgrp-33rplc-28">
    <w:name w:val="cat-FIO grp-33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FIOgrp-33rplc-30">
    <w:name w:val="cat-FIO grp-33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Dategrp-22rplc-36">
    <w:name w:val="cat-Date grp-22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Dategrp-23rplc-38">
    <w:name w:val="cat-Date grp-23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Dategrp-24rplc-40">
    <w:name w:val="cat-Date grp-24 rplc-40"/>
    <w:basedOn w:val="DefaultParagraphFont"/>
  </w:style>
  <w:style w:type="character" w:customStyle="1" w:styleId="cat-Dategrp-18rplc-41">
    <w:name w:val="cat-Date grp-18 rplc-41"/>
    <w:basedOn w:val="DefaultParagraphFont"/>
  </w:style>
  <w:style w:type="character" w:customStyle="1" w:styleId="cat-Dategrp-25rplc-42">
    <w:name w:val="cat-Date grp-25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Dategrp-25rplc-44">
    <w:name w:val="cat-Date grp-25 rplc-44"/>
    <w:basedOn w:val="DefaultParagraphFont"/>
  </w:style>
  <w:style w:type="character" w:customStyle="1" w:styleId="cat-SumInWordsgrp-36rplc-45">
    <w:name w:val="cat-SumInWords grp-36 rplc-45"/>
    <w:basedOn w:val="DefaultParagraphFont"/>
  </w:style>
  <w:style w:type="character" w:customStyle="1" w:styleId="cat-SumInWordsgrp-37rplc-46">
    <w:name w:val="cat-SumInWords grp-37 rplc-46"/>
    <w:basedOn w:val="DefaultParagraphFont"/>
  </w:style>
  <w:style w:type="character" w:customStyle="1" w:styleId="cat-Dategrp-26rplc-47">
    <w:name w:val="cat-Date grp-26 rplc-47"/>
    <w:basedOn w:val="DefaultParagraphFont"/>
  </w:style>
  <w:style w:type="character" w:customStyle="1" w:styleId="cat-Dategrp-26rplc-48">
    <w:name w:val="cat-Date grp-26 rplc-48"/>
    <w:basedOn w:val="DefaultParagraphFont"/>
  </w:style>
  <w:style w:type="character" w:customStyle="1" w:styleId="cat-Dategrp-19rplc-49">
    <w:name w:val="cat-Date grp-19 rplc-49"/>
    <w:basedOn w:val="DefaultParagraphFont"/>
  </w:style>
  <w:style w:type="character" w:customStyle="1" w:styleId="cat-Dategrp-26rplc-50">
    <w:name w:val="cat-Date grp-26 rplc-50"/>
    <w:basedOn w:val="DefaultParagraphFont"/>
  </w:style>
  <w:style w:type="character" w:customStyle="1" w:styleId="cat-Dategrp-27rplc-51">
    <w:name w:val="cat-Date grp-27 rplc-51"/>
    <w:basedOn w:val="DefaultParagraphFont"/>
  </w:style>
  <w:style w:type="character" w:customStyle="1" w:styleId="cat-Dategrp-28rplc-52">
    <w:name w:val="cat-Date grp-28 rplc-52"/>
    <w:basedOn w:val="DefaultParagraphFont"/>
  </w:style>
  <w:style w:type="character" w:customStyle="1" w:styleId="cat-Dategrp-29rplc-53">
    <w:name w:val="cat-Date grp-29 rplc-53"/>
    <w:basedOn w:val="DefaultParagraphFont"/>
  </w:style>
  <w:style w:type="character" w:customStyle="1" w:styleId="cat-Dategrp-21rplc-54">
    <w:name w:val="cat-Date grp-21 rplc-54"/>
    <w:basedOn w:val="DefaultParagraphFont"/>
  </w:style>
  <w:style w:type="character" w:customStyle="1" w:styleId="cat-Dategrp-18rplc-55">
    <w:name w:val="cat-Date grp-18 rplc-55"/>
    <w:basedOn w:val="DefaultParagraphFont"/>
  </w:style>
  <w:style w:type="character" w:customStyle="1" w:styleId="cat-Dategrp-25rplc-56">
    <w:name w:val="cat-Date grp-25 rplc-56"/>
    <w:basedOn w:val="DefaultParagraphFont"/>
  </w:style>
  <w:style w:type="character" w:customStyle="1" w:styleId="cat-Addressgrp-10rplc-57">
    <w:name w:val="cat-Address grp-10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Dategrp-18rplc-60">
    <w:name w:val="cat-Date grp-18 rplc-60"/>
    <w:basedOn w:val="DefaultParagraphFont"/>
  </w:style>
  <w:style w:type="character" w:customStyle="1" w:styleId="cat-Addressgrp-5rplc-61">
    <w:name w:val="cat-Address grp-5 rplc-61"/>
    <w:basedOn w:val="DefaultParagraphFont"/>
  </w:style>
  <w:style w:type="character" w:customStyle="1" w:styleId="cat-Addressgrp-6rplc-62">
    <w:name w:val="cat-Address grp-6 rplc-62"/>
    <w:basedOn w:val="DefaultParagraphFont"/>
  </w:style>
  <w:style w:type="character" w:customStyle="1" w:styleId="cat-Addressgrp-7rplc-63">
    <w:name w:val="cat-Address grp-7 rplc-63"/>
    <w:basedOn w:val="DefaultParagraphFont"/>
  </w:style>
  <w:style w:type="character" w:customStyle="1" w:styleId="cat-Addressgrp-8rplc-64">
    <w:name w:val="cat-Address grp-8 rplc-64"/>
    <w:basedOn w:val="DefaultParagraphFont"/>
  </w:style>
  <w:style w:type="character" w:customStyle="1" w:styleId="cat-Dategrp-19rplc-65">
    <w:name w:val="cat-Date grp-19 rplc-65"/>
    <w:basedOn w:val="DefaultParagraphFont"/>
  </w:style>
  <w:style w:type="character" w:customStyle="1" w:styleId="cat-Dategrp-20rplc-66">
    <w:name w:val="cat-Date grp-20 rplc-66"/>
    <w:basedOn w:val="DefaultParagraphFont"/>
  </w:style>
  <w:style w:type="character" w:customStyle="1" w:styleId="cat-Dategrp-21rplc-67">
    <w:name w:val="cat-Date grp-21 rplc-67"/>
    <w:basedOn w:val="DefaultParagraphFont"/>
  </w:style>
  <w:style w:type="character" w:customStyle="1" w:styleId="cat-Dategrp-17rplc-68">
    <w:name w:val="cat-Date grp-17 rplc-68"/>
    <w:basedOn w:val="DefaultParagraphFont"/>
  </w:style>
  <w:style w:type="character" w:customStyle="1" w:styleId="cat-FIOgrp-34rplc-69">
    <w:name w:val="cat-FIO grp-34 rplc-69"/>
    <w:basedOn w:val="DefaultParagraphFont"/>
  </w:style>
  <w:style w:type="character" w:customStyle="1" w:styleId="cat-Addressgrp-2rplc-70">
    <w:name w:val="cat-Address grp-2 rplc-70"/>
    <w:basedOn w:val="DefaultParagraphFont"/>
  </w:style>
  <w:style w:type="character" w:customStyle="1" w:styleId="cat-Addressgrp-2rplc-71">
    <w:name w:val="cat-Address grp-2 rplc-71"/>
    <w:basedOn w:val="DefaultParagraphFont"/>
  </w:style>
  <w:style w:type="character" w:customStyle="1" w:styleId="cat-Addressgrp-2rplc-72">
    <w:name w:val="cat-Address grp-2 rplc-72"/>
    <w:basedOn w:val="DefaultParagraphFont"/>
  </w:style>
  <w:style w:type="character" w:customStyle="1" w:styleId="cat-Addressgrp-2rplc-73">
    <w:name w:val="cat-Address grp-2 rplc-73"/>
    <w:basedOn w:val="DefaultParagraphFont"/>
  </w:style>
  <w:style w:type="character" w:customStyle="1" w:styleId="cat-Addressgrp-2rplc-74">
    <w:name w:val="cat-Address grp-2 rplc-74"/>
    <w:basedOn w:val="DefaultParagraphFont"/>
  </w:style>
  <w:style w:type="character" w:customStyle="1" w:styleId="cat-Dategrp-30rplc-75">
    <w:name w:val="cat-Date grp-30 rplc-75"/>
    <w:basedOn w:val="DefaultParagraphFont"/>
  </w:style>
  <w:style w:type="character" w:customStyle="1" w:styleId="cat-Dategrp-22rplc-76">
    <w:name w:val="cat-Date grp-22 rplc-76"/>
    <w:basedOn w:val="DefaultParagraphFont"/>
  </w:style>
  <w:style w:type="character" w:customStyle="1" w:styleId="cat-Addressgrp-2rplc-77">
    <w:name w:val="cat-Address grp-2 rplc-77"/>
    <w:basedOn w:val="DefaultParagraphFont"/>
  </w:style>
  <w:style w:type="character" w:customStyle="1" w:styleId="cat-Addressgrp-2rplc-78">
    <w:name w:val="cat-Address grp-2 rplc-78"/>
    <w:basedOn w:val="DefaultParagraphFont"/>
  </w:style>
  <w:style w:type="character" w:customStyle="1" w:styleId="cat-Addressgrp-2rplc-79">
    <w:name w:val="cat-Address grp-2 rplc-79"/>
    <w:basedOn w:val="DefaultParagraphFont"/>
  </w:style>
  <w:style w:type="character" w:customStyle="1" w:styleId="cat-Addressgrp-2rplc-80">
    <w:name w:val="cat-Address grp-2 rplc-80"/>
    <w:basedOn w:val="DefaultParagraphFont"/>
  </w:style>
  <w:style w:type="character" w:customStyle="1" w:styleId="cat-Dategrp-23rplc-81">
    <w:name w:val="cat-Date grp-23 rplc-81"/>
    <w:basedOn w:val="DefaultParagraphFont"/>
  </w:style>
  <w:style w:type="character" w:customStyle="1" w:styleId="cat-FIOgrp-33rplc-82">
    <w:name w:val="cat-FIO grp-33 rplc-82"/>
    <w:basedOn w:val="DefaultParagraphFont"/>
  </w:style>
  <w:style w:type="character" w:customStyle="1" w:styleId="cat-Dategrp-23rplc-83">
    <w:name w:val="cat-Date grp-23 rplc-83"/>
    <w:basedOn w:val="DefaultParagraphFont"/>
  </w:style>
  <w:style w:type="character" w:customStyle="1" w:styleId="cat-Addressgrp-2rplc-84">
    <w:name w:val="cat-Address grp-2 rplc-84"/>
    <w:basedOn w:val="DefaultParagraphFont"/>
  </w:style>
  <w:style w:type="character" w:customStyle="1" w:styleId="cat-FIOgrp-33rplc-85">
    <w:name w:val="cat-FIO grp-33 rplc-85"/>
    <w:basedOn w:val="DefaultParagraphFont"/>
  </w:style>
  <w:style w:type="character" w:customStyle="1" w:styleId="cat-Addressgrp-2rplc-86">
    <w:name w:val="cat-Address grp-2 rplc-86"/>
    <w:basedOn w:val="DefaultParagraphFont"/>
  </w:style>
  <w:style w:type="character" w:customStyle="1" w:styleId="cat-Addressgrp-2rplc-87">
    <w:name w:val="cat-Address grp-2 rplc-87"/>
    <w:basedOn w:val="DefaultParagraphFont"/>
  </w:style>
  <w:style w:type="character" w:customStyle="1" w:styleId="cat-FIOgrp-34rplc-88">
    <w:name w:val="cat-FIO grp-34 rplc-88"/>
    <w:basedOn w:val="DefaultParagraphFont"/>
  </w:style>
  <w:style w:type="character" w:customStyle="1" w:styleId="cat-FIOgrp-34rplc-89">
    <w:name w:val="cat-FIO grp-34 rplc-89"/>
    <w:basedOn w:val="DefaultParagraphFont"/>
  </w:style>
  <w:style w:type="character" w:customStyle="1" w:styleId="cat-Addressgrp-11rplc-90">
    <w:name w:val="cat-Address grp-11 rplc-90"/>
    <w:basedOn w:val="DefaultParagraphFont"/>
  </w:style>
  <w:style w:type="character" w:customStyle="1" w:styleId="cat-FIOgrp-32rplc-91">
    <w:name w:val="cat-FIO grp-32 rplc-91"/>
    <w:basedOn w:val="DefaultParagraphFont"/>
  </w:style>
  <w:style w:type="character" w:customStyle="1" w:styleId="cat-Sumgrp-39rplc-92">
    <w:name w:val="cat-Sum grp-39 rplc-92"/>
    <w:basedOn w:val="DefaultParagraphFont"/>
  </w:style>
  <w:style w:type="character" w:customStyle="1" w:styleId="cat-Addressgrp-1rplc-93">
    <w:name w:val="cat-Address grp-1 rplc-93"/>
    <w:basedOn w:val="DefaultParagraphFont"/>
  </w:style>
  <w:style w:type="character" w:customStyle="1" w:styleId="cat-PhoneNumbergrp-41rplc-94">
    <w:name w:val="cat-PhoneNumber grp-41 rplc-94"/>
    <w:basedOn w:val="DefaultParagraphFont"/>
  </w:style>
  <w:style w:type="character" w:customStyle="1" w:styleId="cat-PhoneNumbergrp-42rplc-95">
    <w:name w:val="cat-PhoneNumber grp-42 rplc-95"/>
    <w:basedOn w:val="DefaultParagraphFont"/>
  </w:style>
  <w:style w:type="character" w:customStyle="1" w:styleId="cat-Addressgrp-1rplc-96">
    <w:name w:val="cat-Address grp-1 rplc-96"/>
    <w:basedOn w:val="DefaultParagraphFont"/>
  </w:style>
  <w:style w:type="character" w:customStyle="1" w:styleId="cat-Addressgrp-12rplc-97">
    <w:name w:val="cat-Address grp-12 rplc-97"/>
    <w:basedOn w:val="DefaultParagraphFont"/>
  </w:style>
  <w:style w:type="character" w:customStyle="1" w:styleId="cat-PhoneNumbergrp-43rplc-98">
    <w:name w:val="cat-PhoneNumber grp-43 rplc-98"/>
    <w:basedOn w:val="DefaultParagraphFont"/>
  </w:style>
  <w:style w:type="character" w:customStyle="1" w:styleId="cat-PhoneNumbergrp-44rplc-99">
    <w:name w:val="cat-PhoneNumber grp-44 rplc-99"/>
    <w:basedOn w:val="DefaultParagraphFont"/>
  </w:style>
  <w:style w:type="character" w:customStyle="1" w:styleId="cat-Addressgrp-1rplc-100">
    <w:name w:val="cat-Address grp-1 rplc-100"/>
    <w:basedOn w:val="DefaultParagraphFont"/>
  </w:style>
  <w:style w:type="character" w:customStyle="1" w:styleId="cat-Addressgrp-13rplc-101">
    <w:name w:val="cat-Address grp-13 rplc-101"/>
    <w:basedOn w:val="DefaultParagraphFont"/>
  </w:style>
  <w:style w:type="character" w:customStyle="1" w:styleId="cat-SumInWordsgrp-38rplc-102">
    <w:name w:val="cat-SumInWords grp-38 rplc-102"/>
    <w:basedOn w:val="DefaultParagraphFont"/>
  </w:style>
  <w:style w:type="character" w:customStyle="1" w:styleId="cat-Addressgrp-1rplc-103">
    <w:name w:val="cat-Address grp-1 rplc-103"/>
    <w:basedOn w:val="DefaultParagraphFont"/>
  </w:style>
  <w:style w:type="character" w:customStyle="1" w:styleId="cat-Addressgrp-1rplc-104">
    <w:name w:val="cat-Address grp-1 rplc-104"/>
    <w:basedOn w:val="DefaultParagraphFont"/>
  </w:style>
  <w:style w:type="character" w:customStyle="1" w:styleId="cat-Addressgrp-14rplc-105">
    <w:name w:val="cat-Address grp-14 rplc-105"/>
    <w:basedOn w:val="DefaultParagraphFont"/>
  </w:style>
  <w:style w:type="character" w:customStyle="1" w:styleId="cat-Addressgrp-15rplc-106">
    <w:name w:val="cat-Address grp-15 rplc-106"/>
    <w:basedOn w:val="DefaultParagraphFont"/>
  </w:style>
  <w:style w:type="character" w:customStyle="1" w:styleId="cat-FIOgrp-35rplc-107">
    <w:name w:val="cat-FIO grp-35 rplc-10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26.2_%D0%9A%D0%BE%D0%90%D0%9F_%D0%A0%D0%A4" TargetMode="External" /><Relationship Id="rId11" Type="http://schemas.openxmlformats.org/officeDocument/2006/relationships/hyperlink" Target="consultantplus://offline/ref=DCA47369FC9EF77709DBD4F4CB918C175939BEB3A83A2C50E6557DD19E58A0EBCC4F4233DC7496C3C879D57F5C46925B1E696739F7409263CBLDM" TargetMode="External" /><Relationship Id="rId12" Type="http://schemas.openxmlformats.org/officeDocument/2006/relationships/hyperlink" Target="consultantplus://offline/ref=6625E569E3D7E22B380F31F570485C0B38A55A4BD0D78C9D31435EF14249E46DF01E3B512316t3LFN" TargetMode="External" /><Relationship Id="rId13" Type="http://schemas.openxmlformats.org/officeDocument/2006/relationships/hyperlink" Target="consultantplus://offline/ref=6625E569E3D7E22B380F31F570485C0B38A55A4BD0D78C9D31435EF14249E46DF01E3B52241Dt3L6N" TargetMode="External" /><Relationship Id="rId14" Type="http://schemas.openxmlformats.org/officeDocument/2006/relationships/hyperlink" Target="consultantplus://offline/ref=6625E569E3D7E22B380F31F570485C0B38A55A4BD0D78C9D31435EF14249E46DF01E3B55231C3738t7L4N" TargetMode="External" /><Relationship Id="rId15" Type="http://schemas.openxmlformats.org/officeDocument/2006/relationships/header" Target="header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3CBCA2FC6B0E481CF0E85D4A339525857B48018CCE1B661940EBE6C64DB9CCEBCC3A34DC38C9E6c5jBN" TargetMode="External" /><Relationship Id="rId5" Type="http://schemas.openxmlformats.org/officeDocument/2006/relationships/hyperlink" Target="consultantplus://offline/ref=493CBCA2FC6B0E481CF0E85D4A339525857B48018CCE1B661940EBE6C64DB9CCEBCC3A34DC38C8E9c5j7N" TargetMode="External" /><Relationship Id="rId6" Type="http://schemas.openxmlformats.org/officeDocument/2006/relationships/hyperlink" Target="consultantplus://offline/ref=41E98956183F453B51E5E4F6DFC9C7BC0E9620BFE5A83833570F60633BCDA755FF248E1108A7DFBAEDFBF51249E6E4D655A53A8BC02C5C59wFL" TargetMode="External" /><Relationship Id="rId7" Type="http://schemas.openxmlformats.org/officeDocument/2006/relationships/hyperlink" Target="consultantplus://offline/ref=DCAFD4BA7CA4A4C7A28C6FA23D1264C66164827360CF4B3D02D0E3D5843496F0EC1BC811C378cBq5O" TargetMode="External" /><Relationship Id="rId8" Type="http://schemas.openxmlformats.org/officeDocument/2006/relationships/hyperlink" Target="consultantplus://offline/ref=DCAFD4BA7CA4A4C7A28C6FA23D1264C66164827360CF4B3D02D0E3D5843496F0EC1BC813C372B7B1c8qBO" TargetMode="External" /><Relationship Id="rId9" Type="http://schemas.openxmlformats.org/officeDocument/2006/relationships/hyperlink" Target="consultantplus://offline/ref=DCAFD4BA7CA4A4C7A28C6FA23D1264C66164827360CF4B3D02D0E3D5843496F0EC1BC813C372B6BEc8q7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