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19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не состоящего в зарегистрированном браке, имеющего среднее образование,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 ст. 20.25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привлеченным к административной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назначением административного наказания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6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в законную силу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32.2 ч.1 КоАП РФ, то есть совершил правонарушение, предусмотренное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 нарушением согласен, вину признает, в содеянном раскаивается. Штраф не смог оплатить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тем, что у него </w:t>
      </w:r>
      <w:r>
        <w:rPr>
          <w:rFonts w:ascii="Times New Roman" w:eastAsia="Times New Roman" w:hAnsi="Times New Roman" w:cs="Times New Roman"/>
          <w:sz w:val="28"/>
          <w:szCs w:val="28"/>
        </w:rPr>
        <w:t>не было денежных средств.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рассрочкой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отметкой о вступлении его в законную силу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резолютивной части которого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требования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32.2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КоАП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возбуждении исполнительного производства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выполнил. </w:t>
      </w:r>
      <w:r>
        <w:rPr>
          <w:rFonts w:ascii="Times New Roman" w:eastAsia="Times New Roman" w:hAnsi="Times New Roman" w:cs="Times New Roman"/>
          <w:sz w:val="28"/>
          <w:szCs w:val="28"/>
        </w:rPr>
        <w:t>С заявлением о рассрочке уплаты административного штрафа не обращался.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 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отягчающим административную ответственность обстоятельствам, согласно п. 2 ч. 1 ст. 4.3. КоАП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административных правонарушений, посягающие на общественный порядок и общественную безопасность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20.25 КоАП РФ.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конституционных требований соразмерности и индивидуализации юридической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должны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учитываться имущественное и финансовое положение привлекаемого к административной ответственности лица.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наказания суд учитывает, что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установленные законом сроки не оплатил, </w:t>
      </w:r>
      <w:r>
        <w:rPr>
          <w:rFonts w:ascii="Times New Roman" w:eastAsia="Times New Roman" w:hAnsi="Times New Roman" w:cs="Times New Roman"/>
          <w:sz w:val="28"/>
          <w:szCs w:val="28"/>
        </w:rPr>
        <w:t>до настоящего времени штраф также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его финансовое положение,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отсутствие отягчающих административную ответственность обстоятельств, а так же то, что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относится к категории лиц, в отношении которых в соответствие с КоАП РФ, не могут применяться обязательные работы, в том числе и по состоянию здоровья. В связи с чем, для достижения цели наказания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назначить административное наказание в виде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сорок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FIOgrp-15rplc-40">
    <w:name w:val="cat-FIO grp-1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