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                                                                                       </w:t>
      </w:r>
      <w:r>
        <w:rPr>
          <w:b w:val="0"/>
          <w:bCs w:val="0"/>
          <w:i w:val="0"/>
          <w:sz w:val="28"/>
          <w:szCs w:val="28"/>
        </w:rPr>
        <w:t>Дело</w:t>
      </w:r>
      <w:r>
        <w:rPr>
          <w:b w:val="0"/>
          <w:bCs w:val="0"/>
          <w:i w:val="0"/>
          <w:sz w:val="28"/>
          <w:szCs w:val="28"/>
        </w:rPr>
        <w:t xml:space="preserve"> № </w:t>
      </w:r>
      <w:r>
        <w:rPr>
          <w:b w:val="0"/>
          <w:bCs w:val="0"/>
          <w:i w:val="0"/>
          <w:sz w:val="28"/>
          <w:szCs w:val="28"/>
        </w:rPr>
        <w:t>5-</w:t>
      </w:r>
      <w:r>
        <w:rPr>
          <w:b w:val="0"/>
          <w:bCs w:val="0"/>
          <w:i w:val="0"/>
          <w:sz w:val="28"/>
          <w:szCs w:val="28"/>
        </w:rPr>
        <w:t>65-</w:t>
      </w:r>
      <w:r>
        <w:rPr>
          <w:b w:val="0"/>
          <w:bCs w:val="0"/>
          <w:i w:val="0"/>
          <w:sz w:val="28"/>
          <w:szCs w:val="28"/>
        </w:rPr>
        <w:t>44/2022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 xml:space="preserve">                                            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</w:t>
      </w:r>
      <w:r>
        <w:rPr>
          <w:b w:val="0"/>
          <w:bCs w:val="0"/>
          <w:i w:val="0"/>
          <w:sz w:val="28"/>
          <w:szCs w:val="28"/>
        </w:rPr>
        <w:t xml:space="preserve"> О С Т А Н О В Л Е Н И 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3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65 Нижнегорского судебного района (Нижнегорский муниципальный район)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7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с участием лица, привлекаемого к 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 – </w:t>
      </w:r>
      <w:r>
        <w:rPr>
          <w:rStyle w:val="cat-FIOgrp-28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поступившее из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425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Музафарова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6rplc-7"/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</w:p>
    <w:p>
      <w:pPr>
        <w:spacing w:before="0" w:after="0"/>
        <w:ind w:left="4253"/>
        <w:jc w:val="both"/>
        <w:rPr>
          <w:sz w:val="28"/>
          <w:szCs w:val="28"/>
        </w:rPr>
      </w:pPr>
      <w:r>
        <w:rPr>
          <w:rStyle w:val="cat-PassportDatagrp-37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УзССР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раждан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пенсионера,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при</w:t>
      </w:r>
      <w:r>
        <w:rPr>
          <w:rFonts w:ascii="Times New Roman" w:eastAsia="Times New Roman" w:hAnsi="Times New Roman" w:cs="Times New Roman"/>
          <w:sz w:val="28"/>
          <w:szCs w:val="28"/>
        </w:rPr>
        <w:t>влечении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одекса Российской Федерации об административных правонарушениях,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284"/>
        <w:jc w:val="both"/>
        <w:rPr>
          <w:sz w:val="28"/>
          <w:szCs w:val="28"/>
        </w:rPr>
      </w:pPr>
    </w:p>
    <w:p>
      <w:pPr>
        <w:spacing w:before="0" w:after="0"/>
        <w:ind w:firstLine="28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Style w:val="cat-FIOgrp-31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будучи з</w:t>
      </w:r>
      <w:r>
        <w:rPr>
          <w:rFonts w:ascii="Times New Roman" w:eastAsia="Times New Roman" w:hAnsi="Times New Roman" w:cs="Times New Roman"/>
          <w:sz w:val="28"/>
          <w:szCs w:val="28"/>
        </w:rPr>
        <w:t>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Dategrp-14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38rplc-1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допустил нарушение, а именно: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актом проверки № 25 от </w:t>
      </w:r>
      <w:r>
        <w:rPr>
          <w:rStyle w:val="cat-Dategrp-15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установлено, что </w:t>
      </w:r>
      <w:r>
        <w:rPr>
          <w:rStyle w:val="cat-FIOgrp-30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является собственником земельного участка с кадастровым номером 90:08:</w:t>
      </w:r>
      <w:r>
        <w:rPr>
          <w:rStyle w:val="cat-PhoneNumbergrp-39rplc-1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:1456, площадью 2500 </w:t>
      </w:r>
      <w:r>
        <w:rPr>
          <w:rFonts w:ascii="Times New Roman" w:eastAsia="Times New Roman" w:hAnsi="Times New Roman" w:cs="Times New Roman"/>
          <w:sz w:val="28"/>
          <w:szCs w:val="28"/>
        </w:rPr>
        <w:t>кв.м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Style w:val="cat-Addressgrp-5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4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РК. Постановлением администрации </w:t>
      </w:r>
      <w:r>
        <w:rPr>
          <w:rStyle w:val="cat-Addressgrp-6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6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26.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огласно предоставленной к пояснениям копии письма №152 от </w:t>
      </w:r>
      <w:r>
        <w:rPr>
          <w:rStyle w:val="cat-Dategrp-17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направленного администрацией </w:t>
      </w:r>
      <w:r>
        <w:rPr>
          <w:rFonts w:ascii="Times New Roman" w:eastAsia="Times New Roman" w:hAnsi="Times New Roman" w:cs="Times New Roman"/>
          <w:sz w:val="28"/>
          <w:szCs w:val="28"/>
        </w:rPr>
        <w:t>Уваровского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7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определено, что по результатам рассмотрения предоставленного гр. </w:t>
      </w:r>
      <w:r>
        <w:rPr>
          <w:rStyle w:val="cat-FIOgrp-28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заявления о передаче земельного участка в аренду, передача земельного участка в аренду не представляется возможным, т.к. не соответствует вид разрешенного использования земельного участка.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>
        <w:rPr>
          <w:rStyle w:val="cat-Addressgrp-6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поясняет, что передать участок в аренду </w:t>
      </w:r>
      <w:r>
        <w:rPr>
          <w:rStyle w:val="cat-FIOgrp-28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будет возможно только после внесений изменений, а так же утверждения правил землепользования и застройки в территориальной зоне застройки индивидуальными жилыми домами и жилыми домами блокированной застройки (Ж-1) по установлению максимального размера земельного участка для вида разрешенного использования - для </w:t>
      </w:r>
      <w:r>
        <w:rPr>
          <w:rFonts w:ascii="Times New Roman" w:eastAsia="Times New Roman" w:hAnsi="Times New Roman" w:cs="Times New Roman"/>
          <w:sz w:val="28"/>
          <w:szCs w:val="28"/>
        </w:rPr>
        <w:t>ведения личного подсобного хозяйства (приусадебный земельный участок) - 0,35 га.</w:t>
      </w:r>
    </w:p>
    <w:p>
      <w:pPr>
        <w:spacing w:before="0" w:after="0"/>
        <w:ind w:firstLine="28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76 Земельного кодекса Российской Федерации юридические лица, граждане обязаны возместить в полном объеме вред, причиненный в результате совершения ими земельных правонарушений. Самовольно занятые земельные участки возвращаются их собственникам, землепользователям, землевладельцам, арендаторам земельных участков без возмещения затрат, произведенных лицами, виновными в нарушении земельного законодательства, за время незаконного пользования этими земельными участками. Приведение земельных участков в пригодное для использования состояние при их загрязнении, других видах порчи, самовольном занятии, снос зданий, сооружений при самовольном занятии земельных участков или самовольном строительстве, а также восстановление уничтоженных межевых знаков осуществляется юридическими лицами и гражданами, виновными в указанных земельных правонарушениях, или за их счет.</w:t>
      </w:r>
    </w:p>
    <w:p>
      <w:pPr>
        <w:spacing w:before="0" w:after="0"/>
        <w:ind w:firstLine="28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земельный участок муниципальной собственности не приведен в состояние пригодное для его дальнейшего использования. При этом у лица имелась возможность в установленный срок исполнения предписания привести земельный участок в соответствие, путем освобождением самовольно занятого земельного участка муниципальной собственности.</w:t>
      </w:r>
    </w:p>
    <w:p>
      <w:pPr>
        <w:spacing w:before="0" w:after="0"/>
        <w:ind w:firstLine="28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Документы, подтверждающие, что в установленный срок исполнения предписания </w:t>
      </w:r>
      <w:r>
        <w:rPr>
          <w:rStyle w:val="cat-FIOgrp-32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предпринимал какие - либо реальные меры для устранения нарушения требований земельного законодательства Российской Федерации при использовании земельного участка не представлены. Доказательства объективной невозможности устранить нарушение требований земельного законодательства </w:t>
      </w:r>
      <w:r>
        <w:rPr>
          <w:rStyle w:val="cat-FIOgrp-28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предоставлены.</w:t>
      </w:r>
    </w:p>
    <w:p>
      <w:pPr>
        <w:spacing w:before="0" w:after="0"/>
        <w:ind w:firstLine="28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Доказательства, свидетельствующие о принятии исчерпывающих мер для приобретения прав на использование земельного участка, либо возникновении непреодолимых препятствий при приобретении таких прав, а также доказательства, подтверждающие факт того, что вышеуказанный земельный участок не мог быть не использован либо не освобожден (как один из способов устранения нарушения) из-за стихийного бедствия или ввиду иных обстоятельств, отсутствуют.</w:t>
      </w:r>
    </w:p>
    <w:p>
      <w:pPr>
        <w:spacing w:before="0" w:after="0"/>
        <w:ind w:firstLine="28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Информация собственника земельного участка (Администрации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Уваровского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8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о реальной возможности оформления </w:t>
      </w:r>
      <w:r>
        <w:rPr>
          <w:rStyle w:val="cat-FIOgrp-28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каких - либо правах земельного участка, отсутствует.</w:t>
      </w:r>
    </w:p>
    <w:p>
      <w:pPr>
        <w:spacing w:before="0" w:after="0"/>
        <w:ind w:firstLine="28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Style w:val="cat-FIOgrp-28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предприняты все возможные и необходимые меры для своевременного и надлежащего исполнения законных предписаний контролирующего органа по устранению нарушения земельного законодательства, что является основанием для привлечения лица к административной ответственности.</w:t>
      </w:r>
    </w:p>
    <w:p>
      <w:pPr>
        <w:spacing w:before="0" w:after="0"/>
        <w:ind w:firstLine="28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внеплановой выездной проверкой исполнения предписания установлено, что </w:t>
      </w:r>
      <w:r>
        <w:rPr>
          <w:rStyle w:val="cat-FIOgrp-28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предприняты все возможные и необходимые меры для своевременного и надлежащего исполнения законного </w:t>
      </w:r>
      <w:r>
        <w:rPr>
          <w:rFonts w:ascii="Times New Roman" w:eastAsia="Times New Roman" w:hAnsi="Times New Roman" w:cs="Times New Roman"/>
          <w:sz w:val="28"/>
          <w:szCs w:val="28"/>
        </w:rPr>
        <w:t>предписания контролирующего органа по устранению нарушения земельного законодательства, что является основанием для привлечения лица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за что предусмотрена административная ответственность по ч. 1 ст. 19.5 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28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32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признал, не оспорил фактические обстоятельства административного правонарушения, обязался в ближайшее время устранить нарушения и выполнить предписание.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FIOgrp-28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и</w:t>
      </w:r>
      <w:r>
        <w:rPr>
          <w:rFonts w:ascii="Times New Roman" w:eastAsia="Times New Roman" w:hAnsi="Times New Roman" w:cs="Times New Roman"/>
          <w:sz w:val="28"/>
          <w:szCs w:val="28"/>
        </w:rPr>
        <w:t>сслед</w:t>
      </w:r>
      <w:r>
        <w:rPr>
          <w:rFonts w:ascii="Times New Roman" w:eastAsia="Times New Roman" w:hAnsi="Times New Roman" w:cs="Times New Roman"/>
          <w:sz w:val="28"/>
          <w:szCs w:val="28"/>
        </w:rPr>
        <w:t>овав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письменные доказательства и фактические данные в совокупности, судья приходит к выводу, что вина </w:t>
      </w:r>
      <w:r>
        <w:rPr>
          <w:rStyle w:val="cat-FIOgrp-28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 вменяемом ему правонарушении нашла свое подтверждение в судебном заседании следующими доказательствами: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8rplc-3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актом выездной проверки от </w:t>
      </w:r>
      <w:r>
        <w:rPr>
          <w:rStyle w:val="cat-Dategrp-19rplc-3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1; протоколом осмотра от </w:t>
      </w:r>
      <w:r>
        <w:rPr>
          <w:rStyle w:val="cat-Dategrp-20rplc-3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фототаблицей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инструментального обследования от </w:t>
      </w:r>
      <w:r>
        <w:rPr>
          <w:rStyle w:val="cat-Dategrp-20rplc-3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предписанием к акту выездной проверки № 1 от </w:t>
      </w:r>
      <w:r>
        <w:rPr>
          <w:rStyle w:val="cat-Dategrp-18rplc-3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пояснением </w:t>
      </w:r>
      <w:r>
        <w:rPr>
          <w:rStyle w:val="cat-FIOgrp-28rplc-4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решением о проведении выездной проверки от </w:t>
      </w:r>
      <w:r>
        <w:rPr>
          <w:rStyle w:val="cat-Dategrp-21rplc-4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2; уведомлением о проведении выездной внеплановой проверки; актом проверки № 55 от </w:t>
      </w:r>
      <w:r>
        <w:rPr>
          <w:rStyle w:val="cat-Dategrp-22rplc-4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предписанием об устранении нарушении земельного законодательства № 1 к акту проверки от </w:t>
      </w:r>
      <w:r>
        <w:rPr>
          <w:rStyle w:val="cat-Dategrp-23rplc-4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другими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по делу являются допустимыми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не противоречивыми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правила в протоколах соблюдены, нарушения не выявлены.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частям 1 статьи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в действиях </w:t>
      </w:r>
      <w:r>
        <w:rPr>
          <w:rStyle w:val="cat-FIOgrp-28rplc-4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имеется состав правонарушения, предусмотренного ст. 19.5 ч.1 КоАП РФ, а именно невыполнение в установленный срок законного предписания должностного лица, осуществляющего государственный надзор (контроль) об устранении нарушений законодательства.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Предписание - это обязательный для исполнения документ установленной формы, составленный и направленный (врученный) от </w:t>
      </w:r>
      <w:r>
        <w:rPr>
          <w:rFonts w:ascii="Times New Roman" w:eastAsia="Times New Roman" w:hAnsi="Times New Roman" w:cs="Times New Roman"/>
          <w:sz w:val="28"/>
          <w:szCs w:val="28"/>
        </w:rPr>
        <w:t>имени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по контролю органа лицу и содержащий требования по устранению выявленных нарушений. В соответствии со статьей 19.5 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невыполнение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срок законного предписания должностного лица, осуществляющего муниципальный контроль, об устранении нарушений законодательства Российской Федерации установлена административная ответственность.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Объектом правонарушения являются общественные отношения в сфере рационального использования и охраны земель (почв).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данному правонарушению существенная угроза охраняемым общественным отношениям заключается в нарушении правового режима использования земельного участка и пренебрежительном отношении к выполнению обязанностей по использованию земельных участков в соответствии с их </w:t>
      </w:r>
      <w:r>
        <w:rPr>
          <w:rFonts w:ascii="Times New Roman" w:eastAsia="Times New Roman" w:hAnsi="Times New Roman" w:cs="Times New Roman"/>
          <w:sz w:val="28"/>
          <w:szCs w:val="28"/>
        </w:rPr>
        <w:t>целевым назначением и принадлежностью к той или иной категории земель и разрешённым использованием, требований охраны земель закреплённых в статьях 1, 7 и 42 Земельного кодекса Российской Федерации.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Использованием земель не по целевому назначению, т.е. не в соответствии с теми целями, для которых они предоставлены, являются изменение режима земель, нарушение землеустроительных проектов, результатов отводов и предоставления земельных участков; осуществление непредусмотренных видов деятельности.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положениями статей 7, 8, Земельного кодекса Российской Федерации категория земель, к которой отнесён земельный участок, и разрешённое использование земельного участка в числе других относятся к сведениям о недвижимом имуществе, которые подтверждают существование такого недвижимого имущества с характеристиками, позволяющими определить такое недвижимое имущество в качестве индивидуально-определённой вещи.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Действующее законодательство не предусматривает государственный кадастровый учёт сведений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разрешённого использования части земельного участка. Статья 7 Земельного кодекса Российской Федерации, статья 37 Градостроительного кодекса Российской Федерации определяют возможность изменения вида разрешённого использования земельного участка как единого объекта недвижимого имущества. </w:t>
      </w:r>
      <w:r>
        <w:rPr>
          <w:rFonts w:ascii="Times New Roman" w:eastAsia="Times New Roman" w:hAnsi="Times New Roman" w:cs="Times New Roman"/>
          <w:sz w:val="28"/>
          <w:szCs w:val="28"/>
        </w:rPr>
        <w:t>Следовательно, использование части площади земельного участка не в соответствии с видом разрешённого использования нарушает правовой режим и вид разрешённого использования всего земельного участка как единого объекта земельных отношений, то есть факт частичного или полного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использования земельного участка не в целях, определённых видом разрешённого использования, не влияет на исключение нарушений требований статьи 42 Земельного законодательства Российской Федерации и наличия состава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нарушения части 1 статьи 8.8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Объективная сторона административного правонарушения предусмотренного ч.1 ст. 19.5 КоАП РФ заключается в бездействии либо осуществлении действий, направленных на невыполнение законного предписания (постановления, представления, решения) органа или должностного лица, осуществляющего государственный контроль и надзор, а также муниципальный контроль, об устранении нарушений законодательства.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Субъективную сторону данного правонарушения характеризует умысел.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Признаки состава административного правонарушения в совокупности образуют элементы состава административного правонарушения, а именно объект, субъект, объективная сторона, субъективная сторона. Данные действия образуют состав административного правонарушения предусмотренного частью 1 статьи 19.5 Кодекса Российской Федерации об административных правонарушениях - «Невыполнение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законодательства».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Предписание носит административно-властный характер, природа и назначение данного ненормативного акта заключается в необходимости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обязательного выполнения выданного предписания лицом, допустившим нарушения законодательства, в установленный в нем срок и сообщения об этом контролирующему органу.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cat-FIOgrp-31rplc-4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имел возможность своевременного обращения в органы местного самоуправления, госучреждений, а так же признания в судебном порядке возникновения прав по основаниям, установленным действующим законодательством Российской Федерации, что позволило бы осуществить оформление правоустанавливающих документов на используемый объект недвижимости с последующей государственной регистрацией в соответствии с Федеральным законом.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2.1. КоАП РФ административным правонарушением признается деяние (действие или бездействие) физического или юридического лица, отвечающее признакам противоправности и виновности.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Данные действия образуют состав административного правонарушения предусмотренного частью 1 статьи 19.5 Кодекса Российской Федерации об административных правонарушениях - «Невыполнение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исполнения предписания № 1 к акту проверки </w:t>
      </w:r>
      <w:r>
        <w:rPr>
          <w:rStyle w:val="cat-Dategrp-25rplc-4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истек </w:t>
      </w:r>
      <w:r>
        <w:rPr>
          <w:rStyle w:val="cat-Dategrp-24rplc-47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 совершения административного правонарушения </w:t>
      </w:r>
      <w:r>
        <w:rPr>
          <w:rStyle w:val="cat-Dategrp-26rplc-4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00 ч., 00 мин.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Принимая во внимание характер совершенного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принимая во внимание данные о личности </w:t>
      </w:r>
      <w:r>
        <w:rPr>
          <w:rStyle w:val="cat-FIOgrp-28rplc-4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суд пришел к выводу о возможности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штрафа в нижнем пределе, установленном санкцией ст. 19.5 ч.1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 ст.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9.9, 29.10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Музафарова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6rplc-51"/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</w:rPr>
        <w:t>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8"/>
          <w:szCs w:val="28"/>
        </w:rPr>
        <w:t>19.5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сумме </w:t>
      </w:r>
      <w:r>
        <w:rPr>
          <w:rStyle w:val="cat-Sumgrp-34rplc-5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SumInWordsgrp-35rplc-53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Реквизиты для оплаты административного штрафа: получателю УФК по РК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Министерство юстиции </w:t>
      </w:r>
      <w:r>
        <w:rPr>
          <w:rStyle w:val="cat-Addressgrp-1rplc-5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</w:t>
      </w:r>
      <w:r>
        <w:rPr>
          <w:rStyle w:val="cat-UserDefinedgrp-42rplc-5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ИНН </w:t>
      </w:r>
      <w:r>
        <w:rPr>
          <w:rStyle w:val="cat-PhoneNumbergrp-40rplc-5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41rplc-5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единый к/с </w:t>
      </w:r>
      <w:r>
        <w:rPr>
          <w:rStyle w:val="cat-UserDefinedgrp-47rplc-5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к/с </w:t>
      </w:r>
      <w:r>
        <w:rPr>
          <w:rStyle w:val="cat-UserDefinedgrp-49rplc-5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лицевой счет </w:t>
      </w:r>
      <w:r>
        <w:rPr>
          <w:rStyle w:val="cat-UserDefinedgrp-42rplc-6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Отделение </w:t>
      </w:r>
      <w:r>
        <w:rPr>
          <w:rStyle w:val="cat-Addressgrp-1rplc-6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Банка России//УФК по </w:t>
      </w:r>
      <w:r>
        <w:rPr>
          <w:rStyle w:val="cat-Addressgrp-9rplc-6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Style w:val="cat-PhoneNumbergrp-43rplc-6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44rplc-6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>
        <w:rPr>
          <w:rStyle w:val="cat-UserDefinedgrp-48rplc-6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КСР </w:t>
      </w:r>
      <w:r>
        <w:rPr>
          <w:rStyle w:val="cat-PhoneNumbergrp-45rplc-6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штрафа предоставить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eastAsia="Times New Roman" w:hAnsi="Times New Roman" w:cs="Times New Roman"/>
          <w:sz w:val="28"/>
          <w:szCs w:val="28"/>
        </w:rPr>
        <w:t>ье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65 Нижнегорского судебного района (Нижнегорский муниципальный район) </w:t>
      </w:r>
      <w:r>
        <w:rPr>
          <w:rStyle w:val="cat-Addressgrp-1rplc-6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10rplc-6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неуплаты административного штрафа в установленный законом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36rplc-69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, либо административный арест на срок до пятнадцати суток, либо обязательные работы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до пятидесяти часов.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Нижнегорский районный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7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 судебного участка № 65 Нижнегорского судебного района (Нижнегорский муниципальный район) </w:t>
      </w:r>
      <w:r>
        <w:rPr>
          <w:rStyle w:val="cat-Addressgrp-1rplc-7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(адрес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1rplc-7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12rplc-7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</w:t>
      </w:r>
      <w:r>
        <w:rPr>
          <w:rFonts w:ascii="Times New Roman" w:eastAsia="Times New Roman" w:hAnsi="Times New Roman" w:cs="Times New Roman"/>
          <w:sz w:val="28"/>
          <w:szCs w:val="28"/>
        </w:rPr>
        <w:t>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Style w:val="cat-FIOgrp-33rplc-7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0"/>
        <w:szCs w:val="20"/>
      </w:rPr>
    </w:pP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                                                                        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b/>
        <w:bCs/>
        <w:sz w:val="20"/>
        <w:szCs w:val="20"/>
      </w:rPr>
      <w:instrText xml:space="preserve"> PAGE </w:instrTex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b/>
        <w:bCs/>
        <w:sz w:val="20"/>
        <w:szCs w:val="20"/>
      </w:rPr>
      <w:t>1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3rplc-0">
    <w:name w:val="cat-Date grp-13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27rplc-3">
    <w:name w:val="cat-FIO grp-27 rplc-3"/>
    <w:basedOn w:val="DefaultParagraphFont"/>
  </w:style>
  <w:style w:type="character" w:customStyle="1" w:styleId="cat-FIOgrp-28rplc-4">
    <w:name w:val="cat-FIO grp-28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46rplc-7">
    <w:name w:val="cat-UserDefined grp-46 rplc-7"/>
    <w:basedOn w:val="DefaultParagraphFont"/>
  </w:style>
  <w:style w:type="character" w:customStyle="1" w:styleId="cat-PassportDatagrp-37rplc-8">
    <w:name w:val="cat-PassportData grp-37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FIOgrp-31rplc-10">
    <w:name w:val="cat-FIO grp-31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Dategrp-14rplc-12">
    <w:name w:val="cat-Date grp-14 rplc-12"/>
    <w:basedOn w:val="DefaultParagraphFont"/>
  </w:style>
  <w:style w:type="character" w:customStyle="1" w:styleId="cat-Timegrp-38rplc-13">
    <w:name w:val="cat-Time grp-38 rplc-13"/>
    <w:basedOn w:val="DefaultParagraphFont"/>
  </w:style>
  <w:style w:type="character" w:customStyle="1" w:styleId="cat-Dategrp-15rplc-14">
    <w:name w:val="cat-Date grp-15 rplc-14"/>
    <w:basedOn w:val="DefaultParagraphFont"/>
  </w:style>
  <w:style w:type="character" w:customStyle="1" w:styleId="cat-FIOgrp-30rplc-15">
    <w:name w:val="cat-FIO grp-30 rplc-15"/>
    <w:basedOn w:val="DefaultParagraphFont"/>
  </w:style>
  <w:style w:type="character" w:customStyle="1" w:styleId="cat-PhoneNumbergrp-39rplc-16">
    <w:name w:val="cat-PhoneNumber grp-39 rplc-16"/>
    <w:basedOn w:val="DefaultParagraphFont"/>
  </w:style>
  <w:style w:type="character" w:customStyle="1" w:styleId="cat-Addressgrp-5rplc-17">
    <w:name w:val="cat-Address grp-5 rplc-17"/>
    <w:basedOn w:val="DefaultParagraphFont"/>
  </w:style>
  <w:style w:type="character" w:customStyle="1" w:styleId="cat-Addressgrp-4rplc-18">
    <w:name w:val="cat-Address grp-4 rplc-18"/>
    <w:basedOn w:val="DefaultParagraphFont"/>
  </w:style>
  <w:style w:type="character" w:customStyle="1" w:styleId="cat-Addressgrp-6rplc-19">
    <w:name w:val="cat-Address grp-6 rplc-19"/>
    <w:basedOn w:val="DefaultParagraphFont"/>
  </w:style>
  <w:style w:type="character" w:customStyle="1" w:styleId="cat-Dategrp-16rplc-20">
    <w:name w:val="cat-Date grp-16 rplc-20"/>
    <w:basedOn w:val="DefaultParagraphFont"/>
  </w:style>
  <w:style w:type="character" w:customStyle="1" w:styleId="cat-Dategrp-17rplc-21">
    <w:name w:val="cat-Date grp-17 rplc-21"/>
    <w:basedOn w:val="DefaultParagraphFont"/>
  </w:style>
  <w:style w:type="character" w:customStyle="1" w:styleId="cat-Addressgrp-7rplc-22">
    <w:name w:val="cat-Address grp-7 rplc-22"/>
    <w:basedOn w:val="DefaultParagraphFont"/>
  </w:style>
  <w:style w:type="character" w:customStyle="1" w:styleId="cat-FIOgrp-28rplc-23">
    <w:name w:val="cat-FIO grp-28 rplc-23"/>
    <w:basedOn w:val="DefaultParagraphFont"/>
  </w:style>
  <w:style w:type="character" w:customStyle="1" w:styleId="cat-Addressgrp-6rplc-24">
    <w:name w:val="cat-Address grp-6 rplc-24"/>
    <w:basedOn w:val="DefaultParagraphFont"/>
  </w:style>
  <w:style w:type="character" w:customStyle="1" w:styleId="cat-FIOgrp-28rplc-25">
    <w:name w:val="cat-FIO grp-28 rplc-25"/>
    <w:basedOn w:val="DefaultParagraphFont"/>
  </w:style>
  <w:style w:type="character" w:customStyle="1" w:styleId="cat-FIOgrp-32rplc-26">
    <w:name w:val="cat-FIO grp-32 rplc-26"/>
    <w:basedOn w:val="DefaultParagraphFont"/>
  </w:style>
  <w:style w:type="character" w:customStyle="1" w:styleId="cat-FIOgrp-28rplc-27">
    <w:name w:val="cat-FIO grp-28 rplc-27"/>
    <w:basedOn w:val="DefaultParagraphFont"/>
  </w:style>
  <w:style w:type="character" w:customStyle="1" w:styleId="cat-Addressgrp-8rplc-28">
    <w:name w:val="cat-Address grp-8 rplc-28"/>
    <w:basedOn w:val="DefaultParagraphFont"/>
  </w:style>
  <w:style w:type="character" w:customStyle="1" w:styleId="cat-FIOgrp-28rplc-29">
    <w:name w:val="cat-FIO grp-28 rplc-29"/>
    <w:basedOn w:val="DefaultParagraphFont"/>
  </w:style>
  <w:style w:type="character" w:customStyle="1" w:styleId="cat-FIOgrp-28rplc-30">
    <w:name w:val="cat-FIO grp-28 rplc-30"/>
    <w:basedOn w:val="DefaultParagraphFont"/>
  </w:style>
  <w:style w:type="character" w:customStyle="1" w:styleId="cat-FIOgrp-28rplc-31">
    <w:name w:val="cat-FIO grp-28 rplc-31"/>
    <w:basedOn w:val="DefaultParagraphFont"/>
  </w:style>
  <w:style w:type="character" w:customStyle="1" w:styleId="cat-FIOgrp-32rplc-32">
    <w:name w:val="cat-FIO grp-32 rplc-32"/>
    <w:basedOn w:val="DefaultParagraphFont"/>
  </w:style>
  <w:style w:type="character" w:customStyle="1" w:styleId="cat-FIOgrp-28rplc-33">
    <w:name w:val="cat-FIO grp-28 rplc-33"/>
    <w:basedOn w:val="DefaultParagraphFont"/>
  </w:style>
  <w:style w:type="character" w:customStyle="1" w:styleId="cat-FIOgrp-28rplc-34">
    <w:name w:val="cat-FIO grp-28 rplc-34"/>
    <w:basedOn w:val="DefaultParagraphFont"/>
  </w:style>
  <w:style w:type="character" w:customStyle="1" w:styleId="cat-Dategrp-18rplc-35">
    <w:name w:val="cat-Date grp-18 rplc-35"/>
    <w:basedOn w:val="DefaultParagraphFont"/>
  </w:style>
  <w:style w:type="character" w:customStyle="1" w:styleId="cat-Dategrp-19rplc-36">
    <w:name w:val="cat-Date grp-19 rplc-36"/>
    <w:basedOn w:val="DefaultParagraphFont"/>
  </w:style>
  <w:style w:type="character" w:customStyle="1" w:styleId="cat-Dategrp-20rplc-37">
    <w:name w:val="cat-Date grp-20 rplc-37"/>
    <w:basedOn w:val="DefaultParagraphFont"/>
  </w:style>
  <w:style w:type="character" w:customStyle="1" w:styleId="cat-Dategrp-20rplc-38">
    <w:name w:val="cat-Date grp-20 rplc-38"/>
    <w:basedOn w:val="DefaultParagraphFont"/>
  </w:style>
  <w:style w:type="character" w:customStyle="1" w:styleId="cat-Dategrp-18rplc-39">
    <w:name w:val="cat-Date grp-18 rplc-39"/>
    <w:basedOn w:val="DefaultParagraphFont"/>
  </w:style>
  <w:style w:type="character" w:customStyle="1" w:styleId="cat-FIOgrp-28rplc-40">
    <w:name w:val="cat-FIO grp-28 rplc-40"/>
    <w:basedOn w:val="DefaultParagraphFont"/>
  </w:style>
  <w:style w:type="character" w:customStyle="1" w:styleId="cat-Dategrp-21rplc-41">
    <w:name w:val="cat-Date grp-21 rplc-41"/>
    <w:basedOn w:val="DefaultParagraphFont"/>
  </w:style>
  <w:style w:type="character" w:customStyle="1" w:styleId="cat-Dategrp-22rplc-42">
    <w:name w:val="cat-Date grp-22 rplc-42"/>
    <w:basedOn w:val="DefaultParagraphFont"/>
  </w:style>
  <w:style w:type="character" w:customStyle="1" w:styleId="cat-Dategrp-23rplc-43">
    <w:name w:val="cat-Date grp-23 rplc-43"/>
    <w:basedOn w:val="DefaultParagraphFont"/>
  </w:style>
  <w:style w:type="character" w:customStyle="1" w:styleId="cat-FIOgrp-28rplc-44">
    <w:name w:val="cat-FIO grp-28 rplc-44"/>
    <w:basedOn w:val="DefaultParagraphFont"/>
  </w:style>
  <w:style w:type="character" w:customStyle="1" w:styleId="cat-FIOgrp-31rplc-45">
    <w:name w:val="cat-FIO grp-31 rplc-45"/>
    <w:basedOn w:val="DefaultParagraphFont"/>
  </w:style>
  <w:style w:type="character" w:customStyle="1" w:styleId="cat-Dategrp-25rplc-46">
    <w:name w:val="cat-Date grp-25 rplc-46"/>
    <w:basedOn w:val="DefaultParagraphFont"/>
  </w:style>
  <w:style w:type="character" w:customStyle="1" w:styleId="cat-Dategrp-24rplc-47">
    <w:name w:val="cat-Date grp-24 rplc-47"/>
    <w:basedOn w:val="DefaultParagraphFont"/>
  </w:style>
  <w:style w:type="character" w:customStyle="1" w:styleId="cat-Dategrp-26rplc-48">
    <w:name w:val="cat-Date grp-26 rplc-48"/>
    <w:basedOn w:val="DefaultParagraphFont"/>
  </w:style>
  <w:style w:type="character" w:customStyle="1" w:styleId="cat-FIOgrp-28rplc-49">
    <w:name w:val="cat-FIO grp-28 rplc-49"/>
    <w:basedOn w:val="DefaultParagraphFont"/>
  </w:style>
  <w:style w:type="character" w:customStyle="1" w:styleId="cat-UserDefinedgrp-46rplc-51">
    <w:name w:val="cat-UserDefined grp-46 rplc-51"/>
    <w:basedOn w:val="DefaultParagraphFont"/>
  </w:style>
  <w:style w:type="character" w:customStyle="1" w:styleId="cat-Sumgrp-34rplc-52">
    <w:name w:val="cat-Sum grp-34 rplc-52"/>
    <w:basedOn w:val="DefaultParagraphFont"/>
  </w:style>
  <w:style w:type="character" w:customStyle="1" w:styleId="cat-SumInWordsgrp-35rplc-53">
    <w:name w:val="cat-SumInWords grp-35 rplc-53"/>
    <w:basedOn w:val="DefaultParagraphFont"/>
  </w:style>
  <w:style w:type="character" w:customStyle="1" w:styleId="cat-Addressgrp-1rplc-54">
    <w:name w:val="cat-Address grp-1 rplc-54"/>
    <w:basedOn w:val="DefaultParagraphFont"/>
  </w:style>
  <w:style w:type="character" w:customStyle="1" w:styleId="cat-UserDefinedgrp-42rplc-55">
    <w:name w:val="cat-UserDefined grp-42 rplc-55"/>
    <w:basedOn w:val="DefaultParagraphFont"/>
  </w:style>
  <w:style w:type="character" w:customStyle="1" w:styleId="cat-PhoneNumbergrp-40rplc-56">
    <w:name w:val="cat-PhoneNumber grp-40 rplc-56"/>
    <w:basedOn w:val="DefaultParagraphFont"/>
  </w:style>
  <w:style w:type="character" w:customStyle="1" w:styleId="cat-PhoneNumbergrp-41rplc-57">
    <w:name w:val="cat-PhoneNumber grp-41 rplc-57"/>
    <w:basedOn w:val="DefaultParagraphFont"/>
  </w:style>
  <w:style w:type="character" w:customStyle="1" w:styleId="cat-UserDefinedgrp-47rplc-58">
    <w:name w:val="cat-UserDefined grp-47 rplc-58"/>
    <w:basedOn w:val="DefaultParagraphFont"/>
  </w:style>
  <w:style w:type="character" w:customStyle="1" w:styleId="cat-UserDefinedgrp-49rplc-59">
    <w:name w:val="cat-UserDefined grp-49 rplc-59"/>
    <w:basedOn w:val="DefaultParagraphFont"/>
  </w:style>
  <w:style w:type="character" w:customStyle="1" w:styleId="cat-UserDefinedgrp-42rplc-60">
    <w:name w:val="cat-UserDefined grp-42 rplc-60"/>
    <w:basedOn w:val="DefaultParagraphFont"/>
  </w:style>
  <w:style w:type="character" w:customStyle="1" w:styleId="cat-Addressgrp-1rplc-61">
    <w:name w:val="cat-Address grp-1 rplc-61"/>
    <w:basedOn w:val="DefaultParagraphFont"/>
  </w:style>
  <w:style w:type="character" w:customStyle="1" w:styleId="cat-Addressgrp-9rplc-62">
    <w:name w:val="cat-Address grp-9 rplc-62"/>
    <w:basedOn w:val="DefaultParagraphFont"/>
  </w:style>
  <w:style w:type="character" w:customStyle="1" w:styleId="cat-PhoneNumbergrp-43rplc-63">
    <w:name w:val="cat-PhoneNumber grp-43 rplc-63"/>
    <w:basedOn w:val="DefaultParagraphFont"/>
  </w:style>
  <w:style w:type="character" w:customStyle="1" w:styleId="cat-PhoneNumbergrp-44rplc-64">
    <w:name w:val="cat-PhoneNumber grp-44 rplc-64"/>
    <w:basedOn w:val="DefaultParagraphFont"/>
  </w:style>
  <w:style w:type="character" w:customStyle="1" w:styleId="cat-UserDefinedgrp-48rplc-65">
    <w:name w:val="cat-UserDefined grp-48 rplc-65"/>
    <w:basedOn w:val="DefaultParagraphFont"/>
  </w:style>
  <w:style w:type="character" w:customStyle="1" w:styleId="cat-PhoneNumbergrp-45rplc-66">
    <w:name w:val="cat-PhoneNumber grp-45 rplc-66"/>
    <w:basedOn w:val="DefaultParagraphFont"/>
  </w:style>
  <w:style w:type="character" w:customStyle="1" w:styleId="cat-Addressgrp-1rplc-67">
    <w:name w:val="cat-Address grp-1 rplc-67"/>
    <w:basedOn w:val="DefaultParagraphFont"/>
  </w:style>
  <w:style w:type="character" w:customStyle="1" w:styleId="cat-Addressgrp-10rplc-68">
    <w:name w:val="cat-Address grp-10 rplc-68"/>
    <w:basedOn w:val="DefaultParagraphFont"/>
  </w:style>
  <w:style w:type="character" w:customStyle="1" w:styleId="cat-SumInWordsgrp-36rplc-69">
    <w:name w:val="cat-SumInWords grp-36 rplc-69"/>
    <w:basedOn w:val="DefaultParagraphFont"/>
  </w:style>
  <w:style w:type="character" w:customStyle="1" w:styleId="cat-Addressgrp-1rplc-70">
    <w:name w:val="cat-Address grp-1 rplc-70"/>
    <w:basedOn w:val="DefaultParagraphFont"/>
  </w:style>
  <w:style w:type="character" w:customStyle="1" w:styleId="cat-Addressgrp-1rplc-71">
    <w:name w:val="cat-Address grp-1 rplc-71"/>
    <w:basedOn w:val="DefaultParagraphFont"/>
  </w:style>
  <w:style w:type="character" w:customStyle="1" w:styleId="cat-Addressgrp-11rplc-72">
    <w:name w:val="cat-Address grp-11 rplc-72"/>
    <w:basedOn w:val="DefaultParagraphFont"/>
  </w:style>
  <w:style w:type="character" w:customStyle="1" w:styleId="cat-Addressgrp-12rplc-73">
    <w:name w:val="cat-Address grp-12 rplc-73"/>
    <w:basedOn w:val="DefaultParagraphFont"/>
  </w:style>
  <w:style w:type="character" w:customStyle="1" w:styleId="cat-FIOgrp-33rplc-74">
    <w:name w:val="cat-FIO grp-33 rplc-7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