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74</w:t>
      </w:r>
      <w:r>
        <w:rPr>
          <w:b w:val="0"/>
          <w:bCs w:val="0"/>
          <w:i w:val="0"/>
          <w:sz w:val="28"/>
          <w:szCs w:val="28"/>
        </w:rPr>
        <w:t>/2022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0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1rplc-1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-52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УИН 0410760300655000</w:t>
      </w:r>
      <w:r>
        <w:rPr>
          <w:b w:val="0"/>
          <w:bCs w:val="0"/>
          <w:i w:val="0"/>
          <w:sz w:val="28"/>
          <w:szCs w:val="28"/>
        </w:rPr>
        <w:t>742220142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spacing w:before="0" w:after="0"/>
        <w:rPr>
          <w:sz w:val="20"/>
          <w:szCs w:val="20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Сахатова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b/>
          <w:bCs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 9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на иждивении не имеющего, 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20.20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им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7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8201 № 040</w:t>
      </w:r>
      <w:r>
        <w:rPr>
          <w:rFonts w:ascii="Times New Roman" w:eastAsia="Times New Roman" w:hAnsi="Times New Roman" w:cs="Times New Roman"/>
          <w:sz w:val="28"/>
          <w:szCs w:val="28"/>
        </w:rPr>
        <w:t>886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ОМВД России по </w:t>
      </w:r>
      <w:r>
        <w:rPr>
          <w:rStyle w:val="cat-Addressgrp-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1872 от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20.20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им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7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20.20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0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7rplc-4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3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Style w:val="cat-FIOgrp-1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Сахатова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7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5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Timegrp-19rplc-28">
    <w:name w:val="cat-Time grp-1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Sumgrp-17rplc-34">
    <w:name w:val="cat-Sum grp-1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Sumgrp-17rplc-39">
    <w:name w:val="cat-Sum grp-17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13rplc-42">
    <w:name w:val="cat-FIO grp-13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FIOgrp-13rplc-45">
    <w:name w:val="cat-FIO grp-13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UserDefinedgrp-22rplc-47">
    <w:name w:val="cat-UserDefined grp-22 rplc-47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FIOgrp-16rplc-53">
    <w:name w:val="cat-FIO grp-1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