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экземпляр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>
      <w:pPr>
        <w:spacing w:before="0" w:after="0" w:line="30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65-146/2021</w:t>
      </w:r>
    </w:p>
    <w:p>
      <w:pPr>
        <w:spacing w:before="0" w:after="0" w:line="30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УИД:91MS00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 w:line="30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>
      <w:pPr>
        <w:spacing w:before="0" w:after="0" w:line="30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 w:line="30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делу об административном правонарушении</w:t>
      </w:r>
    </w:p>
    <w:p>
      <w:pPr>
        <w:spacing w:before="0" w:after="0" w:line="300" w:lineRule="auto"/>
        <w:jc w:val="both"/>
        <w:rPr>
          <w:sz w:val="28"/>
          <w:szCs w:val="28"/>
        </w:rPr>
      </w:pP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 w:line="300" w:lineRule="auto"/>
        <w:jc w:val="both"/>
        <w:rPr>
          <w:sz w:val="28"/>
          <w:szCs w:val="28"/>
        </w:rPr>
      </w:pPr>
    </w:p>
    <w:p>
      <w:pPr>
        <w:spacing w:before="0"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37 </w:t>
      </w:r>
      <w:r>
        <w:rPr>
          <w:rFonts w:ascii="Times New Roman" w:eastAsia="Times New Roman" w:hAnsi="Times New Roman" w:cs="Times New Roman"/>
          <w:sz w:val="28"/>
          <w:szCs w:val="28"/>
        </w:rPr>
        <w:t>Джанкойского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городской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тся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8rplc-10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полное 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браке, работающего по частному найму,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300" w:lineRule="auto"/>
        <w:jc w:val="both"/>
        <w:rPr>
          <w:sz w:val="28"/>
          <w:szCs w:val="28"/>
        </w:rPr>
      </w:pPr>
    </w:p>
    <w:p>
      <w:pPr>
        <w:spacing w:before="0"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</w:p>
    <w:p>
      <w:pPr>
        <w:spacing w:before="0"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1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300" w:lineRule="auto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 w:line="300" w:lineRule="auto"/>
        <w:ind w:firstLine="708"/>
        <w:jc w:val="center"/>
        <w:rPr>
          <w:sz w:val="28"/>
          <w:szCs w:val="28"/>
        </w:rPr>
      </w:pP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лицом, на которое судом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уклонился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лечения от наркомании и (или) медицинской и (или) социальной реабилитации,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ст. 6.9.1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и проживающий по адресу: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уклонился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ди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гностики в ГБУЗ РК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Симферополь, возложенной на основании постановления мирового судьи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 ч. 1 чт. 6.9 КоАП по делу № 5-65-53/2021.</w:t>
      </w:r>
    </w:p>
    <w:p>
      <w:pPr>
        <w:spacing w:before="0"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6.9.</w:t>
      </w:r>
      <w:r>
        <w:rPr>
          <w:rFonts w:ascii="Times New Roman" w:eastAsia="Times New Roman" w:hAnsi="Times New Roman" w:cs="Times New Roman"/>
          <w:sz w:val="28"/>
          <w:szCs w:val="28"/>
        </w:rPr>
        <w:t>1 КоАП РФ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примечанию к ст. 6.9.1 КРФ об АП,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двух раз предписания лечащего врача.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утвержденными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м Правительства РФ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основанием для постановки лица на учет в 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вступившее в законную силу постановление суда.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>
      <w:pPr>
        <w:spacing w:before="0" w:after="0" w:line="30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Мировым судьёй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основанием для постановки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 в ГБУЗ РК «Крымский научно – практический центр наркологии» является вступившее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район)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65-53/2021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-334354/855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5-65-53/2021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ответом ГБУЗ РК «Крымский научно-практический центр наркологии» № </w:t>
      </w:r>
      <w:r>
        <w:rPr>
          <w:rFonts w:ascii="Times New Roman" w:eastAsia="Times New Roman" w:hAnsi="Times New Roman" w:cs="Times New Roman"/>
          <w:sz w:val="28"/>
          <w:szCs w:val="28"/>
        </w:rPr>
        <w:t>01-15/4706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вызывает сомнений, они последовательны, непротиворечивы и полностью согласуются между собой.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квалифицировать по ст. 6.9.1 КоАП РФ, как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 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смягчающих ответственность обстоятельств мировой судья учитывает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 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имеется.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120" w:line="30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 :</w:t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rStyle w:val="cat-Sumgrp-19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зачислением суммы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Документ, свидетельствующий об уплате административного штрафа должен быть направлен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мировому судье.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</w:t>
      </w:r>
      <w:r>
        <w:rPr>
          <w:rStyle w:val="cat-Sumgrp-20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административный арест на срок до пятнадцати суток, либо обязательные работы на срок до 50 часов.</w:t>
      </w:r>
    </w:p>
    <w:p>
      <w:pPr>
        <w:widowControl w:val="0"/>
        <w:spacing w:before="0" w:after="12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>
      <w:pPr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Sumgrp-20rplc-46">
    <w:name w:val="cat-Sum grp-2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6rplc-50">
    <w:name w:val="cat-FIO grp-1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746C90034F89A6CF398ED8BEF4DDF173B1EE5064A5E8590B79576F7449n4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