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155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3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оборот табачной продукции без соответствующей маркировки или нанесения информации, предусмотренной законодательством РФ,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сигареты </w:t>
      </w:r>
      <w:r>
        <w:rPr>
          <w:rFonts w:ascii="Times New Roman" w:eastAsia="Times New Roman" w:hAnsi="Times New Roman" w:cs="Times New Roman"/>
          <w:sz w:val="28"/>
          <w:szCs w:val="28"/>
        </w:rPr>
        <w:t>ТМ «Корона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пачек</w:t>
      </w:r>
      <w:r>
        <w:rPr>
          <w:rFonts w:ascii="Times New Roman" w:eastAsia="Times New Roman" w:hAnsi="Times New Roman" w:cs="Times New Roman"/>
          <w:sz w:val="28"/>
          <w:szCs w:val="28"/>
        </w:rPr>
        <w:t>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слим» в количестве 10 пачек;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20 пачек;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10 пачек; сигареты ТМ «Корона слим» в количестве 30 пачек; сигареты ТМ «Минск красные» в количестве 10 пачек; сигареты ТМ «Минск красные» в количестве 20 пачек,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выражен в хранении в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15.12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ицо, в отношении которого ведется производство по делу об административном правонарушении </w:t>
      </w:r>
      <w:r>
        <w:rPr>
          <w:rStyle w:val="cat-FIOgrp-2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слушания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 в котором вину в совершении административного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сильно не наказывать, кроме того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административное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отсутствие, письменных возражений и ходатайств об отложении рассмотрения дела </w:t>
      </w:r>
      <w:r>
        <w:rPr>
          <w:rStyle w:val="cat-FIOgrp-2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2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щимися в материалах дела письменными доказательствами, исследованными в судебном заседании,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определением о возбуждении дела об административном правонарушении от </w:t>
      </w:r>
      <w:r>
        <w:rPr>
          <w:rStyle w:val="cat-Dategrp-1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от </w:t>
      </w:r>
      <w:r>
        <w:rPr>
          <w:rStyle w:val="cat-Dategrp-1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фотоматериалами;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вещей и документов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свидетельством о государственной регистрации физического лиц в качестве индивидуального предпринимателя от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ОГРНИП 315910200004155, патентом на право применения патентной системы налогообложения (форма № 26.5-П) № 9105200002832 от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ЕГРИП от </w:t>
      </w:r>
      <w:r>
        <w:rPr>
          <w:rStyle w:val="cat-Dategrp-1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35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аренды </w:t>
      </w:r>
      <w:r>
        <w:rPr>
          <w:rFonts w:ascii="Times New Roman" w:eastAsia="Times New Roman" w:hAnsi="Times New Roman" w:cs="Times New Roman"/>
          <w:sz w:val="28"/>
          <w:szCs w:val="28"/>
        </w:rPr>
        <w:t>нежилого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 от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установившего факт административного правонарушения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15.12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4 ст. 15.12 КоАП РФ оборот табачных изделий без маркировки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нанесения информации, предусмотренной законодательством Российской Федерации, в случае,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такая маркировка и (или) нанесение такой информации обязательны,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 состав сигарет входит табак, следовательно, данная продукция подпадает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действие Федерального закона от </w:t>
      </w:r>
      <w:r>
        <w:rPr>
          <w:rStyle w:val="cat-Dategrp-2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268-ФЗ "Технический регламент на табачную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продукцию" и Федерального закона от </w:t>
      </w:r>
      <w:r>
        <w:rPr>
          <w:rStyle w:val="cat-Dategrp-2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15-ФЗ "Об охране здоровья граждан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воздействия окружающего табачного дыма и последствий потребления табака".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статье 18 Федерального закона от </w:t>
      </w:r>
      <w:r>
        <w:rPr>
          <w:rStyle w:val="cat-Dategrp-2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15-ФЗ "Об охране здоровья граждан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воздействия окружающего табачного дыма и последствий потребления табака" определены 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предотвращению незаконной торговли табачной продукцией и табачными изделиями,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 пунктом 3 указанной статьи определено, что в целях предупреждения незаконной торгован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табачной продукцией и табачными изделиями каждая пачка и каждая упаковка табачных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изделий подлежат в обязательном порядку маркировке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Российской Федерации о техническом регулировании.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статье 2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от </w:t>
      </w:r>
      <w:r>
        <w:rPr>
          <w:rStyle w:val="cat-Dategrp-2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268-ФЗ даны следующие определения "табачные изделия"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продукты, полностью или частично изготовленные из табачного листа в качестве сырьевого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материала, приготовленного таким образом, чтобы использовать для курения, сосания, жевания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нюханья; "табачная продукция" это табачное изделие, упакованное в потребительскую тару.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ст. 4 Федерального закона от </w:t>
      </w:r>
      <w:r>
        <w:rPr>
          <w:rStyle w:val="cat-Dategrp-2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 на табачную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табачная продукция подлежит маркировке специальными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(акцизными) марками, исключающими возможность их подделки и повторного использования.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образцам специальных (акцизных) марок для маркировки табачной продукции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цена устанавливаются Правительством Российской Федерации. Изготовление специальных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(акцизных) марок, их приобретение изготовителем и (или) импортером табачной продукции,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маркировка ими табачной продукции, учет и уничтожение поврежденных специ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(акцизных) марок, а также их идентификация осуществляются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Российской Федерации. Реализация на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табачной продукции без маркировки специальными (акцизными) марками не допускается.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п.п. 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РФ от </w:t>
      </w:r>
      <w:r>
        <w:rPr>
          <w:rStyle w:val="cat-Dategrp-2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224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</w:rPr>
        <w:t>оборот табачной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ввоз в Российскую Федерацию, хранение, транспортировка, получение и передача табачной продукции, в том числе ее приобретение и реализация (продажа) на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Табачная продукция до ее ввода в оборот на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обязательной маркировке средствами идентификации.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8 ФЗ от </w:t>
      </w:r>
      <w:r>
        <w:rPr>
          <w:rStyle w:val="cat-Dategrp-2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268-ФЗ установлены правила нанесения информации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потребителей табачных изделий.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8 ФЗ от </w:t>
      </w:r>
      <w:r>
        <w:rPr>
          <w:rStyle w:val="cat-Dategrp-20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268-ФЗ информация должна быть изложена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русском языке и может быть повторена на других языках или нанесена буквами латинского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алфавита (в части наименования изготовителя, лицензиара и наименования табачной продукции).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Текст, входящий в зарегистрированный товарный знак или промышленный образец, наносится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языке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сигареты подлежат маркировке специальными (акцизными) марками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 без такой маркировки является нарушением законодательства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Федерации. Отсутствие на маркировке табачных изделий информации на русском языке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нарушением предусмотренных законодательством РФ требований к маркировке.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Style w:val="cat-Dategrp-1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8rplc-4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установлено, что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36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сигареты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ТМ «Корона 100» в количестве 62 пачек; сигареты ТМ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слим» в количестве 10 пачек;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20 пачек;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10 пачек; сигареты ТМ «Корона слим» в количестве 30 пачек; сигареты ТМ «Минск красные» в количестве 10 пачек; сигареты ТМ «Минск синие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20 пачек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были изъяты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протоколу изъятия вещей и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переданы на хранение в ОМВД по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Выявленные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зафиксированы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</w:t>
      </w:r>
      <w:r>
        <w:rPr>
          <w:rStyle w:val="cat-FIOgrp-2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роспись в день составления.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доказательства получены в соответствии с законом, оснований им не доверять не имеется, оценены судом в соответствии с правилами ст. 26.11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в п. 18 Постановления Пленума Верховного Суда РФ от </w:t>
      </w:r>
      <w:r>
        <w:rPr>
          <w:rStyle w:val="cat-Dategrp-23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протоколы и иные материалы ранее прекращенного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OrganizationNamegrp-37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7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2.4 КоАП РФ, лица, осуществляющие предпринимательскую деятельность без образования юридического лица, совершившие административное правонарушение, несут административную ответственность как должностные лица.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 считает возможным назначение </w:t>
      </w:r>
      <w:r>
        <w:rPr>
          <w:rStyle w:val="cat-FIOgrp-28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минимальных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15.12 КоАП РФ, предусматривающей ответственность для должностных лиц.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 части 3 статьи 29.10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постановлении по делу об административном правонарушении должны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решены вопросы об изъятых вещах и документах, о вещах, на которые наложен арест, если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их не применено или не может быть применено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конфискации, а также о внесенном залоге за арестованное судно. При этом вещи, изъятые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оборота, подлежат передаче в соответствующие организации или уничтожению.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3.7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конфискацией изъятие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незаконного владения лица, совершившего административное правонарушение, орудия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или предмета административного правонарушения, в числе прочего, изъятых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оборота либо находившихся в противоправном владении лица, совершившего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по иным причинам и на этом основании подлежащих обращению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собственность государства или уничтожению.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Конфискация как административное наказание не может быть применена в отношении предмета административного правонарушения - табачной продукции, находящейся в незаконном обороте, она подлежит уничтожению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применительно к табачной продукции, находящейся в незаконном обороте, административное наказание в виде конфискации, применено быть не может, она подлежит изъятию из незаконного оборота.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мировой судья приходит к выводу, что изъятые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 протоколом табачные изделия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сигареты ТМ «Корона 100» в количестве 62 пачек;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слим» в количестве 10 пачек;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20 пачек;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10 пачек; сигареты ТМ «Корона слим» в количестве 30 пачек; сигареты ТМ «Минск красные» в количестве 10 пачек; сигареты ТМ «Минск синие» в количестве 20 пачек, </w:t>
      </w:r>
      <w:r>
        <w:rPr>
          <w:rFonts w:ascii="Times New Roman" w:eastAsia="Times New Roman" w:hAnsi="Times New Roman" w:cs="Times New Roman"/>
          <w:sz w:val="28"/>
          <w:szCs w:val="28"/>
        </w:rPr>
        <w:t>не маркированные специальными марками,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eastAsia="Times New Roman" w:hAnsi="Times New Roman" w:cs="Times New Roman"/>
          <w:sz w:val="28"/>
          <w:szCs w:val="28"/>
        </w:rPr>
        <w:t>изъятию с последующим уничтожением в установленном порядке.</w:t>
      </w:r>
    </w:p>
    <w:p>
      <w:pPr>
        <w:spacing w:before="0" w:after="0"/>
        <w:ind w:firstLine="54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Style w:val="cat-Addressgrp-7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штрафа в размере </w:t>
      </w:r>
      <w:r>
        <w:rPr>
          <w:rStyle w:val="cat-Sumgrp-31rplc-5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изъятием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предметов административного правонарушения, хранящихся в камере вещественных доказательств в ОМВД России по </w:t>
      </w:r>
      <w:r>
        <w:rPr>
          <w:rStyle w:val="cat-Addressgrp-6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пачк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сигарет, переданны</w:t>
      </w:r>
      <w:r>
        <w:rPr>
          <w:rFonts w:ascii="Times New Roman" w:eastAsia="Times New Roman" w:hAnsi="Times New Roman" w:cs="Times New Roman"/>
          <w:sz w:val="28"/>
          <w:szCs w:val="28"/>
        </w:rPr>
        <w:t>х на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подлежат уничтожению в установленном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43rplc-57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9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6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0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30rplc-7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4rplc-3">
    <w:name w:val="cat-FIO grp-24 rplc-3"/>
    <w:basedOn w:val="DefaultParagraphFont"/>
  </w:style>
  <w:style w:type="character" w:customStyle="1" w:styleId="cat-FIOgrp-25rplc-4">
    <w:name w:val="cat-FIO grp-25 rplc-4"/>
    <w:basedOn w:val="DefaultParagraphFont"/>
  </w:style>
  <w:style w:type="character" w:customStyle="1" w:styleId="cat-PassportDatagrp-33rplc-5">
    <w:name w:val="cat-PassportData grp-3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13rplc-8">
    <w:name w:val="cat-Date grp-13 rplc-8"/>
    <w:basedOn w:val="DefaultParagraphFont"/>
  </w:style>
  <w:style w:type="character" w:customStyle="1" w:styleId="cat-Dategrp-14rplc-9">
    <w:name w:val="cat-Date grp-14 rplc-9"/>
    <w:basedOn w:val="DefaultParagraphFont"/>
  </w:style>
  <w:style w:type="character" w:customStyle="1" w:styleId="cat-Timegrp-38rplc-10">
    <w:name w:val="cat-Time grp-38 rplc-10"/>
    <w:basedOn w:val="DefaultParagraphFont"/>
  </w:style>
  <w:style w:type="character" w:customStyle="1" w:styleId="cat-OrganizationNamegrp-34rplc-11">
    <w:name w:val="cat-OrganizationName grp-3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26rplc-13">
    <w:name w:val="cat-FIO grp-26 rplc-13"/>
    <w:basedOn w:val="DefaultParagraphFont"/>
  </w:style>
  <w:style w:type="character" w:customStyle="1" w:styleId="cat-FIOgrp-26rplc-14">
    <w:name w:val="cat-FIO grp-26 rplc-14"/>
    <w:basedOn w:val="DefaultParagraphFont"/>
  </w:style>
  <w:style w:type="character" w:customStyle="1" w:styleId="cat-FIOgrp-27rplc-15">
    <w:name w:val="cat-FIO grp-27 rplc-15"/>
    <w:basedOn w:val="DefaultParagraphFont"/>
  </w:style>
  <w:style w:type="character" w:customStyle="1" w:styleId="cat-FIOgrp-27rplc-16">
    <w:name w:val="cat-FIO grp-27 rplc-16"/>
    <w:basedOn w:val="DefaultParagraphFont"/>
  </w:style>
  <w:style w:type="character" w:customStyle="1" w:styleId="cat-Dategrp-15rplc-17">
    <w:name w:val="cat-Date grp-15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27rplc-21">
    <w:name w:val="cat-FIO grp-27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OrganizationNamegrp-35rplc-26">
    <w:name w:val="cat-OrganizationName grp-35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20rplc-29">
    <w:name w:val="cat-Date grp-20 rplc-29"/>
    <w:basedOn w:val="DefaultParagraphFont"/>
  </w:style>
  <w:style w:type="character" w:customStyle="1" w:styleId="cat-Dategrp-21rplc-30">
    <w:name w:val="cat-Date grp-21 rplc-30"/>
    <w:basedOn w:val="DefaultParagraphFont"/>
  </w:style>
  <w:style w:type="character" w:customStyle="1" w:styleId="cat-Dategrp-21rplc-31">
    <w:name w:val="cat-Date grp-21 rplc-31"/>
    <w:basedOn w:val="DefaultParagraphFont"/>
  </w:style>
  <w:style w:type="character" w:customStyle="1" w:styleId="cat-Dategrp-20rplc-32">
    <w:name w:val="cat-Date grp-20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Dategrp-22rplc-35">
    <w:name w:val="cat-Date grp-22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Timegrp-38rplc-41">
    <w:name w:val="cat-Time grp-38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OrganizationNamegrp-36rplc-43">
    <w:name w:val="cat-OrganizationName grp-36 rplc-43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FIOgrp-26rplc-47">
    <w:name w:val="cat-FIO grp-26 rplc-47"/>
    <w:basedOn w:val="DefaultParagraphFont"/>
  </w:style>
  <w:style w:type="character" w:customStyle="1" w:styleId="cat-Dategrp-23rplc-48">
    <w:name w:val="cat-Date grp-23 rplc-48"/>
    <w:basedOn w:val="DefaultParagraphFont"/>
  </w:style>
  <w:style w:type="character" w:customStyle="1" w:styleId="cat-OrganizationNamegrp-37rplc-49">
    <w:name w:val="cat-OrganizationName grp-37 rplc-49"/>
    <w:basedOn w:val="DefaultParagraphFont"/>
  </w:style>
  <w:style w:type="character" w:customStyle="1" w:styleId="cat-FIOgrp-27rplc-50">
    <w:name w:val="cat-FIO grp-27 rplc-50"/>
    <w:basedOn w:val="DefaultParagraphFont"/>
  </w:style>
  <w:style w:type="character" w:customStyle="1" w:styleId="cat-FIOgrp-28rplc-51">
    <w:name w:val="cat-FIO grp-28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FIOgrp-29rplc-53">
    <w:name w:val="cat-FIO grp-29 rplc-53"/>
    <w:basedOn w:val="DefaultParagraphFont"/>
  </w:style>
  <w:style w:type="character" w:customStyle="1" w:styleId="cat-Sumgrp-31rplc-54">
    <w:name w:val="cat-Sum grp-31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Dategrp-18rplc-56">
    <w:name w:val="cat-Date grp-18 rplc-56"/>
    <w:basedOn w:val="DefaultParagraphFont"/>
  </w:style>
  <w:style w:type="character" w:customStyle="1" w:styleId="cat-UserDefinedgrp-43rplc-57">
    <w:name w:val="cat-UserDefined grp-43 rplc-57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9rplc-67">
    <w:name w:val="cat-Address grp-9 rplc-67"/>
    <w:basedOn w:val="DefaultParagraphFont"/>
  </w:style>
  <w:style w:type="character" w:customStyle="1" w:styleId="cat-SumInWordsgrp-32rplc-68">
    <w:name w:val="cat-SumInWords grp-32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0rplc-71">
    <w:name w:val="cat-Address grp-10 rplc-71"/>
    <w:basedOn w:val="DefaultParagraphFont"/>
  </w:style>
  <w:style w:type="character" w:customStyle="1" w:styleId="cat-Addressgrp-11rplc-72">
    <w:name w:val="cat-Address grp-11 rplc-72"/>
    <w:basedOn w:val="DefaultParagraphFont"/>
  </w:style>
  <w:style w:type="character" w:customStyle="1" w:styleId="cat-FIOgrp-30rplc-73">
    <w:name w:val="cat-FIO grp-30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