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160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двоих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по частному найму,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приживающего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Fonts w:ascii="Times New Roman" w:eastAsia="Times New Roman" w:hAnsi="Times New Roman" w:cs="Times New Roman"/>
          <w:sz w:val="28"/>
          <w:szCs w:val="28"/>
        </w:rPr>
        <w:t>33430</w:t>
      </w:r>
      <w:r>
        <w:rPr>
          <w:rFonts w:ascii="Times New Roman" w:eastAsia="Times New Roman" w:hAnsi="Times New Roman" w:cs="Times New Roman"/>
          <w:sz w:val="28"/>
          <w:szCs w:val="28"/>
        </w:rPr>
        <w:t>5/656,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кабинете № 34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полагать (поведение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наркотическое средство.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Fonts w:ascii="Times New Roman" w:eastAsia="Times New Roman" w:hAnsi="Times New Roman" w:cs="Times New Roman"/>
          <w:sz w:val="28"/>
          <w:szCs w:val="28"/>
        </w:rPr>
        <w:t>334305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009229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ОМВД России по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1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28rplc-3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0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UserDefinedgrp-28rplc-38">
    <w:name w:val="cat-UserDefined grp-28 rplc-38"/>
    <w:basedOn w:val="DefaultParagraphFont"/>
  </w:style>
  <w:style w:type="character" w:customStyle="1" w:styleId="cat-SumInWordsgrp-22rplc-47">
    <w:name w:val="cat-SumInWords grp-2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FIOgrp-20rplc-52">
    <w:name w:val="cat-FIO grp-2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