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175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районного суда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FIOgrp-2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4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пенсион</w:t>
      </w:r>
      <w:r>
        <w:rPr>
          <w:rFonts w:ascii="Times New Roman" w:eastAsia="Times New Roman" w:hAnsi="Times New Roman" w:cs="Times New Roman"/>
          <w:sz w:val="28"/>
          <w:szCs w:val="28"/>
        </w:rPr>
        <w:t>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14.17.1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являясь индивидуальным предпринимателем, не имея лицензии на розничную продажу, незаконно реализовала спиртосодержащую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продукцию, которая согласно заключения эксперта №9/132 от </w:t>
      </w: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спиртосодержащей (содержит этиловый спирт) относится к напиткам кустарного изготовления – самогон, которую реализовала 0,5 литра стоимостью </w:t>
      </w:r>
      <w:r>
        <w:rPr>
          <w:rStyle w:val="cat-Sumgrp-3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совершил административное правонарушение,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14.17.1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о дне и времени слушания дела извещена надлежащим образом, причин неявки суду не сообщила.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42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ее отсутствие.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представленные и исследованные в судебном заседании материалы дела, 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334380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2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3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являясь индивидуальным предпринимателем, не имея лицензии на розничную продажу, незаконно реализовала спиртосодержащую продукцию, которая согласно заключения эксперта №9/132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спиртосодержащей (содержит этиловый спирт) относится к напиткам кустарного изготовления – самогон, которую реализовала 0,5 литра стоимостью </w:t>
      </w:r>
      <w:r>
        <w:rPr>
          <w:rStyle w:val="cat-Sumgrp-35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Style w:val="cat-FIOgrp-2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 334380 от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>
        <w:rPr>
          <w:rStyle w:val="cat-FIOgrp-2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указано, что </w:t>
      </w:r>
      <w:r>
        <w:rPr>
          <w:rStyle w:val="cat-FIOgrp-2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реализовала </w:t>
      </w:r>
      <w:r>
        <w:rPr>
          <w:rStyle w:val="cat-FIOgrp-3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спиртосодержащую продукцию самогон (л.д.4), рапортом </w:t>
      </w:r>
      <w:r>
        <w:rPr>
          <w:rStyle w:val="cat-FIOgrp-3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ходе проверки по материалу КУСП № 1245 от </w:t>
      </w:r>
      <w:r>
        <w:rPr>
          <w:rStyle w:val="cat-Dategrp-1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</w:t>
      </w:r>
      <w:r>
        <w:rPr>
          <w:rStyle w:val="cat-FIOgrp-2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реализовала спиртосодержащую жидкость домашнего производства «самогон» </w:t>
      </w:r>
      <w:r>
        <w:rPr>
          <w:rStyle w:val="cat-FIOgrp-3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объеме 0,5 л. (л.д.5); протоколом осмотра места происшествия от </w:t>
      </w:r>
      <w:r>
        <w:rPr>
          <w:rStyle w:val="cat-Dategrp-1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(л.д.6-8,9-13) с фототаблицей; объяснением </w:t>
      </w:r>
      <w:r>
        <w:rPr>
          <w:rStyle w:val="cat-FIOgrp-2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указала,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реализовала 0,5 литра самогона </w:t>
      </w:r>
      <w:r>
        <w:rPr>
          <w:rStyle w:val="cat-FIOgrp-3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(л.д.14); объяснением </w:t>
      </w:r>
      <w:r>
        <w:rPr>
          <w:rStyle w:val="cat-FIOgrp-2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(л.д.16); объяснением </w:t>
      </w:r>
      <w:r>
        <w:rPr>
          <w:rStyle w:val="cat-FIOgrp-30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(л.д.17,18), заключением эксперта № 9/132 от </w:t>
      </w:r>
      <w:r>
        <w:rPr>
          <w:rStyle w:val="cat-Dategrp-13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указано, что представленная на экспертизу жидкость из полимерной бутылки вместимостью 0.5 дм3 с фрагментом этикетки является спиртосодержащей (содержит этиловый спирт) и относится к спиртным напиткам кустарного изготовления – самогон, объемная доля этилового спирта (крепостью) в представленной жидкости составляет 382 % (л.д.25-27); квитанцией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хранении вещественных доказательств по квитанции № 148 от </w:t>
      </w:r>
      <w:r>
        <w:rPr>
          <w:rStyle w:val="cat-Dategrp-20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пояснений </w:t>
      </w:r>
      <w:r>
        <w:rPr>
          <w:rStyle w:val="cat-FIOgrp-2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содержащихся в материалах дела, последн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8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</w:t>
      </w:r>
      <w:r>
        <w:rPr>
          <w:rStyle w:val="cat-Dategrp-21rplc-5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производства и оборота этилового спирта, алкогольной и спиртосодержащей продукции установлены в Федеральном законе от </w:t>
      </w:r>
      <w:r>
        <w:rPr>
          <w:rStyle w:val="cat-Dategrp-22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 (далее - Федеральный закон № 171-ФЗ), в котором под оборотом алкогольной и спиртосодержащей продукции понимается закупка (в том числе импорт), поставки (в том числе экспорт), хранение и розничная продажа такой продукции.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 171- ФЗ лицензированию подлежат виды деятельности, связанные с производством и оборотом этилового спирта, алкогольной и спиртосодержащей продукции, за исключением: производства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пуаре, медовухи; розничной продажи спиртосодержащей продукции; 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 производства и оборота виноградного сусла, произведенного сельскохозяйственными товаропроизводителями; розничной продажи алкогольной продукции физическим лицам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 услуг общественного питания от имени и по поручению организации, имеющей лицензию на розничную продажу алкогольной продукции при оказании услуг общественного питания.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пункта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пункта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пунктов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22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осуществляется только организациями (юридическими лицами) при наличии соответствующих лицензий. Соответственно, индивидуальные предприниматели не вправе осуществлять деятельность по розничной продаже алкогольной продукции.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 171-ФЗ установлен запрет на производство и оборот этилового спирта, алкогольной и спиртосодержащей продукции без соответствующих лицензий, без сопроводительных документов, установленных в соответствии с требованиями настоящего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действующее законодательство предъявляет повышенные требования к обороту алкогольной и спиртосодержащей продукции, включая ряд ограничений и запретов.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Одной из мер государственного принуждения за нарушение требований Федерального закона № 171-ФЗ является административная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пунктом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 То есть, выдача индивидуальным предпринимателям лицензий на осуществление розничной торговли алкогольной продукцией действующим законодательством не предусмотрена.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правонарушения - общественные отношения в сфере соблюдения установленного порядка производства и оборота этилового спирта, алкогольной и спиртосодержащей продукции. Правовое регулирование данной сферы отношений осуществляется посредством - федеральных законов; - нормативных правовых актов РФ; - законов субъектов РФ, принимаемых в соответствии с вышеуказанными федеральными законами и нормативными правовыми актами РФ; - нормативных правовых актов субъектов РФ, принимаемых в соответствии с вышеуказанными федеральными законами и нормативными правовыми актами РФ. При этом ключевым федеральным законом является Федеральный закон от </w:t>
      </w:r>
      <w:r>
        <w:rPr>
          <w:rStyle w:val="cat-Dategrp-23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продукции" и принятые в соответствии с ним иные нормативные правовые акты, устанавливающие особый порядок производства и оборота этилового спирта (см. также Постановление Правительства от </w:t>
      </w:r>
      <w:r>
        <w:rPr>
          <w:rStyle w:val="cat-Dategrp-24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494 "О товарных знаках на алкогольную и спиртосодержащую продукцию"). Производство этилового спирта, алкогольной и спиртосодержащей продукции - производство организацией такой продукции в целях ее продажи и получения прибыли, а также для собственных нужд. Организации, осуществляющие производство этилового спирта, алкогольной и спиртосодержащей продукции и использующие в указанных целях основное технологическое оборудование, изготовленное как на </w:t>
      </w:r>
      <w:r>
        <w:rPr>
          <w:rStyle w:val="cat-Addressgrp-4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за пределами ее территории, обязаны иметь на указанное оборудование сертификат соответствия и положительное заключение государственной экологической экспертизы, выданные в порядке, установленном законодательством РФ. Производство этилового спирта вправе осуществлять казенные предприятия, а также иные организации, имеющие оплаченный уставный капитал (уставный фонд) в размере не менее чем </w:t>
      </w:r>
      <w:r>
        <w:rPr>
          <w:rStyle w:val="cat-Sumgrp-36rplc-5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Закупка - форма организованного приобретения продукции, сырья и продовольствия у товаропроизводителей (поставщиков) для последующей переработки или реализации потребителю (покупателю) на взаимовыгодных договорных условиях. Закупка этилового спирта для производства алкогольной продукции и спиртосодержащей продукции и (или) использования для собственных нужд осуществляется при условии представления уведомления.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– признание вины и раскаяние в содеянном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а также принимая во внимание конкретные обстоятельства дела, характер совершенного правонарушения, роль и степень вины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для достижения задач законодательства об административных правонарушениях,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нижнем пределе санкции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14.17.1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без конфискации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33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14.17.1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37rplc-5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8rplc-6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конфискацией изъятой жидкости.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силу, изъятую по протоколам осмотра места происшествия от </w:t>
      </w:r>
      <w:r>
        <w:rPr>
          <w:rStyle w:val="cat-Dategrp-25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квитанции № 148 от </w:t>
      </w:r>
      <w:r>
        <w:rPr>
          <w:rStyle w:val="cat-Dategrp-20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бутылку вместимостью 0,5 дм3, содержащую спиртосодержащую продукцию, находящиеся в камере хранения вещественных доказательств ОМВД России по </w:t>
      </w:r>
      <w:r>
        <w:rPr>
          <w:rStyle w:val="cat-Addressgrp-5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вступлению постановления в законную силу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49rplc-64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9rplc-7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34rplc-7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6rplc-3">
    <w:name w:val="cat-FIO grp-2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PassportDatagrp-40rplc-6">
    <w:name w:val="cat-PassportData grp-4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41rplc-8">
    <w:name w:val="cat-PassportData grp-41 rplc-8"/>
    <w:basedOn w:val="DefaultParagraphFont"/>
  </w:style>
  <w:style w:type="character" w:customStyle="1" w:styleId="cat-PhoneNumbergrp-44rplc-9">
    <w:name w:val="cat-PhoneNumber grp-4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43rplc-13">
    <w:name w:val="cat-Time grp-43 rplc-13"/>
    <w:basedOn w:val="DefaultParagraphFont"/>
  </w:style>
  <w:style w:type="character" w:customStyle="1" w:styleId="cat-FIOgrp-28rplc-14">
    <w:name w:val="cat-FIO grp-2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Sumgrp-35rplc-17">
    <w:name w:val="cat-Sum grp-35 rplc-17"/>
    <w:basedOn w:val="DefaultParagraphFont"/>
  </w:style>
  <w:style w:type="character" w:customStyle="1" w:styleId="cat-FIOgrp-28rplc-18">
    <w:name w:val="cat-FIO grp-28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OrganizationNamegrp-42rplc-20">
    <w:name w:val="cat-OrganizationName grp-42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28rplc-22">
    <w:name w:val="cat-FIO grp-28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8rplc-24">
    <w:name w:val="cat-FIO grp-2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Timegrp-43rplc-26">
    <w:name w:val="cat-Time grp-43 rplc-26"/>
    <w:basedOn w:val="DefaultParagraphFont"/>
  </w:style>
  <w:style w:type="character" w:customStyle="1" w:styleId="cat-FIOgrp-28rplc-27">
    <w:name w:val="cat-FIO grp-28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Sumgrp-35rplc-30">
    <w:name w:val="cat-Sum grp-35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9rplc-33">
    <w:name w:val="cat-FIO grp-29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30rplc-36">
    <w:name w:val="cat-FIO grp-30 rplc-36"/>
    <w:basedOn w:val="DefaultParagraphFont"/>
  </w:style>
  <w:style w:type="character" w:customStyle="1" w:styleId="cat-FIOgrp-31rplc-37">
    <w:name w:val="cat-FIO grp-31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FIOgrp-30rplc-41">
    <w:name w:val="cat-FIO grp-30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FIOgrp-32rplc-44">
    <w:name w:val="cat-FIO grp-32 rplc-44"/>
    <w:basedOn w:val="DefaultParagraphFont"/>
  </w:style>
  <w:style w:type="character" w:customStyle="1" w:styleId="cat-FIOgrp-28rplc-45">
    <w:name w:val="cat-FIO grp-28 rplc-45"/>
    <w:basedOn w:val="DefaultParagraphFont"/>
  </w:style>
  <w:style w:type="character" w:customStyle="1" w:styleId="cat-FIOgrp-30rplc-46">
    <w:name w:val="cat-FIO grp-30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Dategrp-20rplc-48">
    <w:name w:val="cat-Date grp-20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FIOgrp-28rplc-50">
    <w:name w:val="cat-FIO grp-28 rplc-50"/>
    <w:basedOn w:val="DefaultParagraphFont"/>
  </w:style>
  <w:style w:type="character" w:customStyle="1" w:styleId="cat-Dategrp-21rplc-51">
    <w:name w:val="cat-Date grp-21 rplc-51"/>
    <w:basedOn w:val="DefaultParagraphFont"/>
  </w:style>
  <w:style w:type="character" w:customStyle="1" w:styleId="cat-Dategrp-22rplc-52">
    <w:name w:val="cat-Date grp-22 rplc-52"/>
    <w:basedOn w:val="DefaultParagraphFont"/>
  </w:style>
  <w:style w:type="character" w:customStyle="1" w:styleId="cat-Dategrp-22rplc-53">
    <w:name w:val="cat-Date grp-22 rplc-53"/>
    <w:basedOn w:val="DefaultParagraphFont"/>
  </w:style>
  <w:style w:type="character" w:customStyle="1" w:styleId="cat-Dategrp-23rplc-54">
    <w:name w:val="cat-Date grp-23 rplc-54"/>
    <w:basedOn w:val="DefaultParagraphFont"/>
  </w:style>
  <w:style w:type="character" w:customStyle="1" w:styleId="cat-Dategrp-24rplc-55">
    <w:name w:val="cat-Date grp-24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Sumgrp-36rplc-57">
    <w:name w:val="cat-Sum grp-36 rplc-57"/>
    <w:basedOn w:val="DefaultParagraphFont"/>
  </w:style>
  <w:style w:type="character" w:customStyle="1" w:styleId="cat-FIOgrp-33rplc-58">
    <w:name w:val="cat-FIO grp-33 rplc-58"/>
    <w:basedOn w:val="DefaultParagraphFont"/>
  </w:style>
  <w:style w:type="character" w:customStyle="1" w:styleId="cat-Sumgrp-37rplc-59">
    <w:name w:val="cat-Sum grp-37 rplc-59"/>
    <w:basedOn w:val="DefaultParagraphFont"/>
  </w:style>
  <w:style w:type="character" w:customStyle="1" w:styleId="cat-SumInWordsgrp-38rplc-60">
    <w:name w:val="cat-SumInWords grp-38 rplc-60"/>
    <w:basedOn w:val="DefaultParagraphFont"/>
  </w:style>
  <w:style w:type="character" w:customStyle="1" w:styleId="cat-Dategrp-25rplc-61">
    <w:name w:val="cat-Date grp-25 rplc-61"/>
    <w:basedOn w:val="DefaultParagraphFont"/>
  </w:style>
  <w:style w:type="character" w:customStyle="1" w:styleId="cat-Dategrp-20rplc-62">
    <w:name w:val="cat-Date grp-20 rplc-62"/>
    <w:basedOn w:val="DefaultParagraphFont"/>
  </w:style>
  <w:style w:type="character" w:customStyle="1" w:styleId="cat-Addressgrp-5rplc-63">
    <w:name w:val="cat-Address grp-5 rplc-63"/>
    <w:basedOn w:val="DefaultParagraphFont"/>
  </w:style>
  <w:style w:type="character" w:customStyle="1" w:styleId="cat-UserDefinedgrp-49rplc-64">
    <w:name w:val="cat-UserDefined grp-49 rplc-64"/>
    <w:basedOn w:val="DefaultParagraphFont"/>
  </w:style>
  <w:style w:type="character" w:customStyle="1" w:styleId="cat-SumInWordsgrp-39rplc-72">
    <w:name w:val="cat-SumInWords grp-39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7rplc-74">
    <w:name w:val="cat-Address grp-7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8rplc-77">
    <w:name w:val="cat-Address grp-8 rplc-77"/>
    <w:basedOn w:val="DefaultParagraphFont"/>
  </w:style>
  <w:style w:type="character" w:customStyle="1" w:styleId="cat-Addressgrp-9rplc-78">
    <w:name w:val="cat-Address grp-9 rplc-78"/>
    <w:basedOn w:val="DefaultParagraphFont"/>
  </w:style>
  <w:style w:type="character" w:customStyle="1" w:styleId="cat-FIOgrp-34rplc-79">
    <w:name w:val="cat-FIO grp-34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1/001/?marker=fdoctlaw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s://sudact.ru/law/federalnyi-zakon-ot-22111995-n-171-fz-o/glava-iii/statia-18/" TargetMode="External" /><Relationship Id="rId7" Type="http://schemas.openxmlformats.org/officeDocument/2006/relationships/hyperlink" Target="https://sudact.ru/law/federalnyi-zakon-ot-22111995-n-171-fz-o/glava-ii/statia-11/" TargetMode="External" /><Relationship Id="rId8" Type="http://schemas.openxmlformats.org/officeDocument/2006/relationships/hyperlink" Target="https://sudact.ru/law/federalnyi-zakon-ot-22111995-n-171-fz-o/glava-ii/statia-16_2/" TargetMode="External" /><Relationship Id="rId9" Type="http://schemas.openxmlformats.org/officeDocument/2006/relationships/hyperlink" Target="https://sudact.ru/law/federalnyi-zakon-ot-22111995-n-171-fz-o/glava-iv/statia-26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