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188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2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rStyle w:val="cat-FIOgrp-23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гражданским браком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четверых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0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домовладения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возле сарая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металлическом тазике было обнаружено три куста конопли с признаками культивирования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содержащих наркотическое средство рода конопля (Заключение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были изъяты при осмотре места правонарушения </w:t>
      </w:r>
      <w:r>
        <w:rPr>
          <w:rStyle w:val="cat-Dategrp-1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в его действиях уголовно наказуемого деяния,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10.5.1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rStyle w:val="cat-Dategrp-1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домовладения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конопли, которые он культивировал, поливал, выращивал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личных </w:t>
      </w:r>
      <w:r>
        <w:rPr>
          <w:rFonts w:ascii="Times New Roman" w:eastAsia="Times New Roman" w:hAnsi="Times New Roman" w:cs="Times New Roman"/>
          <w:sz w:val="28"/>
          <w:szCs w:val="28"/>
        </w:rPr>
        <w:t>нужд, без цели сбыта.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и вид обнаруженного и изъятого работниками правоохранительных органов нарко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содержащего растения конопли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оспаривает. В содеянном раскаялся.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пояснил, что в содеянном раскаивается, просил назначить минимальное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2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PhoneNumbergrp-31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2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0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домовладения возле сарая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металлическом тазике было обнаружено три куста конопли с признаками культивирования, содержащих наркотическое средство рода конопля (Заключение эксперта № 1/657) в количестве 3 растений, которые были изъяты при осмотре места правонарушения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при отсутствии в его действиях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rStyle w:val="cat-FIOgrp-2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eastAsia="Times New Roman" w:hAnsi="Times New Roman" w:cs="Times New Roman"/>
          <w:sz w:val="28"/>
          <w:szCs w:val="28"/>
        </w:rPr>
        <w:t>растения, содержащего наркотические средства, 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об административном правонарушении,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где установлено, ч</w:t>
      </w:r>
      <w:r>
        <w:rPr>
          <w:rFonts w:ascii="Times New Roman" w:eastAsia="Times New Roman" w:hAnsi="Times New Roman" w:cs="Times New Roman"/>
          <w:sz w:val="28"/>
          <w:szCs w:val="28"/>
        </w:rPr>
        <w:t>то представленное на экспертизу четыре растения являются растениями конопля (растениями рода Каннабис) содержащих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осмотром места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пояснений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содержащихся в материалах дела, последний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самостоятельно посадил 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конопли, поливал, ухаживал за ними, для личного употребления без цели сбыта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незаконное </w:t>
      </w:r>
      <w:r>
        <w:rPr>
          <w:rFonts w:ascii="Times New Roman" w:eastAsia="Times New Roman" w:hAnsi="Times New Roman" w:cs="Times New Roman"/>
          <w:sz w:val="28"/>
          <w:szCs w:val="28"/>
        </w:rPr>
        <w:t>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pStyle w:val="Heading1"/>
        <w:spacing w:before="0" w:after="0" w:line="280" w:lineRule="atLeast"/>
        <w:jc w:val="both"/>
        <w:outlineLvl w:val="9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 w:val="0"/>
          <w:bCs w:val="0"/>
          <w:i w:val="0"/>
          <w:sz w:val="28"/>
          <w:szCs w:val="28"/>
        </w:rPr>
        <w:t xml:space="preserve">Объектом административного правонарушения являются общественные отношения, связанные с установлением порядка культивирования наркотикосодержащих растений в Российской Федерации.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прекурсоры.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ответственности за культивирование наркотикосодержащих растений производится по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прекурсоров определяется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РФ от </w:t>
      </w:r>
      <w:r>
        <w:rPr>
          <w:rStyle w:val="cat-Dategrp-17rplc-31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934.</w:t>
      </w:r>
      <w:r>
        <w:rPr>
          <w:b w:val="0"/>
          <w:bCs w:val="0"/>
          <w:i w:val="0"/>
          <w:sz w:val="28"/>
          <w:szCs w:val="28"/>
        </w:rPr>
        <w:br/>
      </w:r>
      <w:r>
        <w:rPr>
          <w:b w:val="0"/>
          <w:bCs w:val="0"/>
          <w:i w:val="0"/>
          <w:sz w:val="28"/>
          <w:szCs w:val="28"/>
        </w:rPr>
        <w:t xml:space="preserve">             </w:t>
      </w:r>
      <w:r>
        <w:rPr>
          <w:b w:val="0"/>
          <w:bCs w:val="0"/>
          <w:i w:val="0"/>
          <w:sz w:val="28"/>
          <w:szCs w:val="28"/>
        </w:rPr>
        <w:t>Согласно Постановлени</w:t>
      </w:r>
      <w:r>
        <w:rPr>
          <w:b w:val="0"/>
          <w:bCs w:val="0"/>
          <w:i w:val="0"/>
          <w:sz w:val="28"/>
          <w:szCs w:val="28"/>
        </w:rPr>
        <w:t>я</w:t>
      </w:r>
      <w:r>
        <w:rPr>
          <w:b w:val="0"/>
          <w:bCs w:val="0"/>
          <w:i w:val="0"/>
          <w:sz w:val="28"/>
          <w:szCs w:val="28"/>
        </w:rPr>
        <w:t xml:space="preserve"> Правительства РФ от </w:t>
      </w:r>
      <w:r>
        <w:rPr>
          <w:rStyle w:val="cat-Dategrp-17rplc-32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934 (ред. от </w:t>
      </w:r>
      <w:r>
        <w:rPr>
          <w:rStyle w:val="cat-Dategrp-18rplc-33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) "Об утверждении перечня растений, содержащих наркотические средства </w:t>
      </w:r>
      <w:r>
        <w:rPr>
          <w:b w:val="0"/>
          <w:bCs w:val="0"/>
          <w:i w:val="0"/>
          <w:sz w:val="28"/>
          <w:szCs w:val="28"/>
        </w:rPr>
        <w:t>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</w:t>
      </w:r>
      <w:r>
        <w:rPr>
          <w:b w:val="0"/>
          <w:bCs w:val="0"/>
          <w:i w:val="0"/>
          <w:sz w:val="28"/>
          <w:szCs w:val="28"/>
        </w:rPr>
        <w:t>, для целей статьи 231 УК РФ крупным размером является размер 20 кустов.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объективной стороны правонарушение совершается активными действиями.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прекурсоры,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(п. 29 Постановления Пленума Верховного Суда РФ от </w:t>
      </w:r>
      <w:r>
        <w:rPr>
          <w:rStyle w:val="cat-Dategrp-1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судебной практике по делам о преступлениях, связанных с наркотическими средствами, психотропными, сильнодействующими и ядовитыми веществами" // БВС РФ. 2006. N 8. С. 9). Состав данного правонарушения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субъективной стороны правонарушение, ответственность за которое установлена в комментируемой статье, характеризуется виной в форме прямого умысла.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на иждивении 4 детей,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данные о личности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10.5.1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6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7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Наркосодержащ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растени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конопл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штук,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переданное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012828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амеру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вещественных доказательств ОМВД России по </w:t>
      </w:r>
      <w:r>
        <w:rPr>
          <w:rStyle w:val="cat-Addressgrp-9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8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5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3rplc-6">
    <w:name w:val="cat-FIO grp-23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24rplc-9">
    <w:name w:val="cat-FIO grp-24 rplc-9"/>
    <w:basedOn w:val="DefaultParagraphFont"/>
  </w:style>
  <w:style w:type="character" w:customStyle="1" w:styleId="cat-Dategrp-14rplc-10">
    <w:name w:val="cat-Date grp-14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Dategrp-14rplc-15">
    <w:name w:val="cat-Date grp-1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PhoneNumbergrp-31rplc-20">
    <w:name w:val="cat-PhoneNumber grp-31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Timegrp-30rplc-24">
    <w:name w:val="cat-Time grp-3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9rplc-34">
    <w:name w:val="cat-Date grp-19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6rplc-38">
    <w:name w:val="cat-Sum grp-26 rplc-38"/>
    <w:basedOn w:val="DefaultParagraphFont"/>
  </w:style>
  <w:style w:type="character" w:customStyle="1" w:styleId="cat-SumInWordsgrp-27rplc-39">
    <w:name w:val="cat-SumInWords grp-27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Dategrp-20rplc-51">
    <w:name w:val="cat-Date grp-20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SumInWordsgrp-28rplc-55">
    <w:name w:val="cat-SumInWords grp-28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1rplc-58">
    <w:name w:val="cat-Address grp-11 rplc-58"/>
    <w:basedOn w:val="DefaultParagraphFont"/>
  </w:style>
  <w:style w:type="character" w:customStyle="1" w:styleId="cat-Addressgrp-12rplc-59">
    <w:name w:val="cat-Address grp-12 rplc-59"/>
    <w:basedOn w:val="DefaultParagraphFont"/>
  </w:style>
  <w:style w:type="character" w:customStyle="1" w:styleId="cat-FIOgrp-25rplc-60">
    <w:name w:val="cat-FIO grp-2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