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1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Нижнегорского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4 </w:t>
      </w:r>
      <w:r>
        <w:rPr>
          <w:rFonts w:ascii="Times New Roman" w:eastAsia="Times New Roman" w:hAnsi="Times New Roman" w:cs="Times New Roman"/>
          <w:sz w:val="28"/>
          <w:szCs w:val="28"/>
        </w:rPr>
        <w:t>ст.15</w:t>
      </w:r>
      <w:r>
        <w:rPr>
          <w:rFonts w:ascii="Times New Roman" w:eastAsia="Times New Roman" w:hAnsi="Times New Roman" w:cs="Times New Roman"/>
          <w:sz w:val="28"/>
          <w:szCs w:val="28"/>
        </w:rPr>
        <w:t>.15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–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5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гражданки РФ, </w:t>
      </w:r>
      <w:r>
        <w:rPr>
          <w:rStyle w:val="cat-PassportDatagrp-4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и проживающей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3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–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полномочий в части формирования / подписания годовой бюджетной отчетности за </w:t>
      </w:r>
      <w:r>
        <w:rPr>
          <w:rStyle w:val="cat-Dategrp-19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допустила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искажение показателей бухгалтерской (финансовой) отчетности за </w:t>
      </w:r>
      <w:r>
        <w:rPr>
          <w:rStyle w:val="cat-Dategrp-1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счету бюджетного учета </w:t>
      </w:r>
      <w:r>
        <w:rPr>
          <w:rStyle w:val="cat-PhoneNumbergrp-47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«Непроизводственные активы», счету </w:t>
      </w:r>
      <w:r>
        <w:rPr>
          <w:rStyle w:val="cat-PhoneNumbergrp-48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«Нефинансовые активы имущества казны» - субсчету </w:t>
      </w:r>
      <w:r>
        <w:rPr>
          <w:rStyle w:val="cat-PhoneNumbergrp-49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«Непроизводственные активы, составляющие казну»,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счету 26 «Имущество, переданное в безвозмездное пользование», выраженные в денежном измерении, которые привели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снижению информации об активах, обязательствах и финансовом результате более чем на 10,0%.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выявленных существенных ошибок/искажений и согласно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стандарта №256н, бюджетная отчетность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1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признана недостоверной,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ст.15.15.6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явилась, предоставила заявление о рассмотрении дела в ее отсутствие, вину признала в полном объеме, раскаялась.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Style w:val="cat-FIOgrp-3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ст.15.15.6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доказана и нашла свое подтверждение в ходе производства по делу об административном правонарушении.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264.1 Бюджетного кодекса Российской Федерации бюджетный учет представляет собой упорядоченную систему сбора,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Статьёй 3 Федерального закона от </w:t>
      </w:r>
      <w:r>
        <w:rPr>
          <w:rStyle w:val="cat-Dategrp-2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402-ФЗ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бухгалтерском учете» (далее - Закон № 402-ФЗ) установлено, что бухгалтерская (финансовая) отчетность -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Законом № 402-ФЗ.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 (часть 1 статьи 13 Закона № 402-ФЗ).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составления и представления годовой, квартальной и месячной отчетности об исполнении бюджетов бюджетной системы Российской Федерации утвержден приказом Министерства финансов Российской Федерации от </w:t>
      </w:r>
      <w:r>
        <w:rPr>
          <w:rStyle w:val="cat-Dategrp-2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191н (далее - Инструкция № 191н).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7 Инструкции № 191н бюджетная отчетность составляется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Федерального казначейства, органов, осуществляющих кассовое обслуживание, с обязательным проведением сверки оборотов и остатков по регистрам аналитического учета с оборотами и остатками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регистрам синтетического учета.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Перечнем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</w:t>
      </w:r>
      <w:r>
        <w:rPr>
          <w:rStyle w:val="cat-OrganizationNamegrp-46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оборотная ведомость отнесена к регистрам бухгалтерского учета, на основании которых формируется годовая бюджетная отчетность экономического субъекта.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11.1 Инструкции № 191н в состав бюджетной отчетности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администратора,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администратора доходов бюджета включаются формы отчетов: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Баланс главного распорядителя,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распорядителя, получателя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бюджетных средств, главного администратора, администратора источников финансирования дефицита бюджета,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главного администратора,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администратора доходов бюджета (ф. 0503130) (далее - Баланс ф. 0503130), включающий Справку о наличии имущества и обязательств на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счетах к Балансу ф. </w:t>
      </w:r>
      <w:r>
        <w:rPr>
          <w:rStyle w:val="cat-PhoneNumbergrp-50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Справка к Балансу ф. 0503130);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 (ф. 0503160).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 (ф. 0503160) к бюджетной отчётности составляется в разрезе разделов, в том числе содержит раздел 4 «Анализ показателей бухгалтерской отчетности субъекта бюджетной отчетности», предусматривающий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составление формы «Сведения о движении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нефинансовых активов» (ф. 0503168) (далее - Сведения ф. 0503168).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Проверкой достоверности показателей бюджетной отчетности Администрации </w:t>
      </w:r>
      <w:r>
        <w:rPr>
          <w:rStyle w:val="cat-Addressgrp-6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1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следующее.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141 Инструкции №157Н счёт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бухгалтерского учёта 108.00 «Нефинансовые активы имущества казны» предназначен для учёта объектов имущества (нефинансовых активов), составляющих государственную (муниципальную) казну Российской Федерации, субъектов Российской Федерации и муниципальных образований, в разрезе материальных основных фондов, нематериальных основных фондов, непроизведённых активов и материальных запасов. Согласно пункту 144 Инструкции № 157н объекты нефинансовых активов, составляющих государственную (муниципальную) казну, учитываются по коду аналитического счета бухгалтерского учета 108.55 «Непроизведенные активы, составляющие казну».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Style w:val="cat-Addressgrp-8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государственной (муниципальной) казны учитываются по их кадастровой стоимости (стоимости, указанной в документе на право пользования земельным участком, расположенном за пределами </w:t>
      </w:r>
      <w:r>
        <w:rPr>
          <w:rStyle w:val="cat-Addressgrp-7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ета, либо, при невозможности определения такой стоимости, - в условной оценке,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квадратный метр - </w:t>
      </w:r>
      <w:r>
        <w:rPr>
          <w:rStyle w:val="cat-Sumgrp-36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(пункт 142 Инструкции № 157н).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143 Инструкции № 157н объекты имущества в составе казны отражаются в бюджетном учёте в стоимостном выражении без ведения инвентарного учёта объектов имущества, если иное не предусмотрено учетной политикой. В целях контроля соответствия учетных данных по объектам нефинансовых активов, составляющих государственную (муниципальную) казну, сформированных в результате отражения операций, изменяющих показатели-в денежном (стоимостном) выражении указанных активов на соответствующих счетах аналитического учёта Рабочего плана счетов, осуществляется сверка учётных данных с данными реестра государственной (муниципальной) казны.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145 Инструкции № 157н аналитический учёт объектов в составе имущества казны осуществляется в структуре, установленной для ведения реестра государственного (муниципального)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имущества соответствующего публично-правового образования.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требований пунктов 141, 142, 144 Инструкции № 157н учёт земельных участков, составляющих имущество муниципальной казны, Администрацией в </w:t>
      </w:r>
      <w:r>
        <w:rPr>
          <w:rStyle w:val="cat-Dategrp-22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велся на счёте бухгалтерского учёта 103.00 «Непроизведенные активы», не предназначенного для учета имущества казны, что повлекло искажение показателей бюджетной отчетности Администрации за </w:t>
      </w:r>
      <w:r>
        <w:rPr>
          <w:rStyle w:val="cat-Dategrp-19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Баланс (ф. 0503130) строка 070, Сведения ф.</w:t>
      </w:r>
      <w:r>
        <w:rPr>
          <w:rStyle w:val="cat-PhoneNumbergrp-51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(строки 150, 151) на сумму </w:t>
      </w:r>
      <w:r>
        <w:rPr>
          <w:rStyle w:val="cat-Sumgrp-37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39rplc-3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или 100 %.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пункта 1 статьи 10 Закона № 402-ФЗ, пункта 18 Федерального стандарта бухгалтерского учёта для организаций государственного сектора «Концептуальные основы бухгалтерского учёта и отчётности организаций государственного сектора», утверждённого приказом Минфина РФ от </w:t>
      </w:r>
      <w:r>
        <w:rPr>
          <w:rStyle w:val="cat-Dategrp-23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256н (далее - Федеральный стандарт № 256н), пункта 143 Инструкции № 157н, пункта 16 Инструкции № 191н стоимость земельных участков, составляющих имущество казны, не отражена по счету бухгалтерского учета 108.00 «Нефинансовые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имущества казны» в Балансе ф. </w:t>
      </w:r>
      <w:r>
        <w:rPr>
          <w:rStyle w:val="cat-PhoneNumbergrp-50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(строка 140), в Сведениях ф. </w:t>
      </w:r>
      <w:r>
        <w:rPr>
          <w:rStyle w:val="cat-PhoneNumbergrp-51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(строка 510).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Искажение показателей отчётности - Баланс (ф. 0503130) строка 140, Сведения ф.</w:t>
      </w:r>
      <w:r>
        <w:rPr>
          <w:rStyle w:val="cat-PhoneNumbergrp-51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(строка 510), от показателей, установленных по результатам контрольного мероприятия, составило 49 429,1 </w:t>
      </w:r>
      <w:r>
        <w:rPr>
          <w:rStyle w:val="cat-SumInWordsgrp-39rplc-4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или 100 % в Балансе ф. </w:t>
      </w:r>
      <w:r>
        <w:rPr>
          <w:rStyle w:val="cat-PhoneNumbergrp-50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Сведениях о движении нефинансовых активов ф. </w:t>
      </w:r>
      <w:r>
        <w:rPr>
          <w:rStyle w:val="cat-PhoneNumbergrp-51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показателям Справки к Балансу ф. </w:t>
      </w:r>
      <w:r>
        <w:rPr>
          <w:rStyle w:val="cat-PhoneNumbergrp-50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Dategrp-24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имущества </w:t>
      </w:r>
      <w:r>
        <w:rPr>
          <w:rStyle w:val="cat-Addressgrp-6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учитываемого по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счету 26 «Имущество, переданное в безвозмездное пользование» (далее -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счёт 26), составляла 18 591,0 </w:t>
      </w:r>
      <w:r>
        <w:rPr>
          <w:rStyle w:val="cat-SumInWordsgrp-39rplc-4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нарушение пункта 383 Инструкции № 157н Администрацией на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счете 26 учитывалась стоимость земельных участков, которая должна отражаться в Балансе ф. </w:t>
      </w:r>
      <w:r>
        <w:rPr>
          <w:rStyle w:val="cat-PhoneNumbergrp-50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счёту 10855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«Непроизведенные активы в составе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мущества казны». Искажение показателя отчётности составило 18 591,0 </w:t>
      </w:r>
      <w:r>
        <w:rPr>
          <w:rStyle w:val="cat-SumInWordsgrp-39rplc-4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или 100% </w:t>
      </w:r>
      <w:r>
        <w:rPr>
          <w:rStyle w:val="cat-SumInWordsgrp-39rplc-5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1 раздела III.3.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«Отражение в бухгалтерском учете объектов учета операционной аренды арендодателем (балансодержателем имущества)» Методических рекомендаций по применению федерального стандарта бухгалтерского учета для организаций государственного сектора «Аренда» (СГС «Аренда»), отраженных в письме Минфина России от </w:t>
      </w:r>
      <w:r>
        <w:rPr>
          <w:rStyle w:val="cat-Dategrp-25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Dategrp-26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/83464, в том числе указано, что на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счете 26 «Имущество, переданное в безвозмездное пользование» отражается информация о балансовой стоимостной величине объектов, переданных в пользование.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1 статьи 13 Закона № 402-ФЗ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пунктами 17, 65 Федерального стандарта № 256н в целях достоверного представления в бухгалтерской (финансовой) отчетности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информации о финансовом положении субъекта отчетности в бухгалтерском учете подлежит отражению информация, не содержащая существенных ошибок и искажений, позволяющая ее пользователям положиться на нее, как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достоверную.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4 примечаний к статье 15.15.6 «Нарушение требований к бюджетному (бухгалтерскому) учету, в том числе к составлению, представлению бюджетной, бухгалтерской (финансовой) отчетности» КоАП РФ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бухгалтерской (финансовой) отчетности понимается искажение показателя бюджетной или бухгалтерской (финансовой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отчетности,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денежном измерении, которое привело к искажению информации об активах, и (или) обязательствах, и (или) о финансовом результате более чем на 10,0%.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>
        <w:rPr>
          <w:rStyle w:val="cat-Addressgrp-6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допущены искажения показателей бухгалтерской (финансовой) отчетности за </w:t>
      </w:r>
      <w:r>
        <w:rPr>
          <w:rStyle w:val="cat-Dategrp-19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счету бюджетного учета </w:t>
      </w:r>
      <w:r>
        <w:rPr>
          <w:rStyle w:val="cat-PhoneNumbergrp-47rplc-5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«Непроизведенные активы», счёту </w:t>
      </w:r>
      <w:r>
        <w:rPr>
          <w:rStyle w:val="cat-PhoneNumbergrp-48rplc-5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«Нефинансовые активы имущества казны» - субсчету </w:t>
      </w:r>
      <w:r>
        <w:rPr>
          <w:rStyle w:val="cat-PhoneNumbergrp-49rplc-5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«Непроизведенные активы, составляющие казну», </w:t>
      </w:r>
      <w:r>
        <w:rPr>
          <w:rFonts w:ascii="Times New Roman" w:eastAsia="Times New Roman" w:hAnsi="Times New Roman" w:cs="Times New Roman"/>
          <w:sz w:val="28"/>
          <w:szCs w:val="28"/>
        </w:rPr>
        <w:t>забалансовому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счёту 26 «Имущество, переданное в безвозмездное пользование», выраженные в денежном измерении, которые привели к искажению информации об активах, обязательствах и финансовом результате более чем на 10,0 %.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выявленных существенных ошибок / искажений и согласно пункту 17 Федерального стандарта №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256н, бюджетная 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9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19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признана недостоверной, что образует состав административного правонарушения по части 4 статьи 15.15.6 КоАП РФ, выразившегося в грубом нарушении требований к бюджетному (бухгалтерскому) учету, в том числе к составлению бюджетной, бухгалтерской (финансовой) отчетности, порядку составления (формирования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консолидированной бухгалтерской (финансовой) отчетности.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8 статьи 13 Закона 402-ФЗ бухгалтерская (финансовая) отчетность считается составленной после подписания ее руководителем экономического субъекта. Формы бюджетной отчетности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19rplc-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подписаны 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- главой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2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бухгалтером Администрации </w:t>
      </w:r>
      <w:r>
        <w:rPr>
          <w:rStyle w:val="cat-FIOgrp-33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7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что считается датой совершения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Субъектом указанного административного правонарушения является должностное лицо. 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1 сессии 2 созыва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</w:t>
      </w:r>
      <w:r>
        <w:rPr>
          <w:rStyle w:val="cat-Addressgrp-10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8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 «Об избрании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1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- главы администрации </w:t>
      </w:r>
      <w:r>
        <w:rPr>
          <w:rStyle w:val="cat-Addressgrp-5rplc-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32rplc-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избрана главой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12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пункту 2 статьи 41, пункту 15 статьи 44 Устава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1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5-ой сессии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</w:t>
      </w:r>
      <w:r>
        <w:rPr>
          <w:rStyle w:val="cat-Addressgrp-10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1-го созыва от </w:t>
      </w:r>
      <w:r>
        <w:rPr>
          <w:rStyle w:val="cat-Dategrp-29rplc-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 (с изменениями и дополнениями, далее - Устав Поселения), 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</w:t>
      </w:r>
      <w:r>
        <w:rPr>
          <w:rStyle w:val="cat-Addressgrp-10rplc-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проверяемом периоде - </w:t>
      </w:r>
      <w:r>
        <w:rPr>
          <w:rStyle w:val="cat-FIOgrp-32rplc-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является главой администрации </w:t>
      </w:r>
      <w:r>
        <w:rPr>
          <w:rStyle w:val="cat-Addressgrp-6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осуществляет свои полномочия на постоянной основе, в том числе руководит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принципах единоначалия и несет персональную ответственность за выполнение администрацией </w:t>
      </w:r>
      <w:r>
        <w:rPr>
          <w:rStyle w:val="cat-Addressgrp-13rplc-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полномочий, входящих в ее компетенцию.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пунктам 2, 3 стати 49 Устава Поселения к полномочиям администрации Поселения относятся (выборочно):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 области управления муниципальной собственностью: управление имуществом, находящимся в муниципальной собственности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решение вопросов по созданию, 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приобретению, использованию, распоряжению и аренде объектов муниципальной собственности;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области территориального планирования, использования земли и других природных ресурсов, охраны окружающей природной среды: осуществление планирования и организации рационального использования и охраны земель, находящихся в муниципальной собственности;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в действиях </w:t>
      </w:r>
      <w:r>
        <w:rPr>
          <w:rStyle w:val="cat-FIOgrp-31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являющейся должностным лицом - 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- главой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усматриваются признаки состава административного правонарушения по части 4 статьи 15.15.6 КоАП РФ, выразившегося в грубом нарушении требований к бюджетному (бухгалтерскому) учету, в том числе к составлению бюджетной, бухгалтерской (финансовой) отчетности, порядку составления (формирования) консолидированной бухгалтерской (финансовой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отчетности за </w:t>
      </w:r>
      <w:r>
        <w:rPr>
          <w:rStyle w:val="cat-Dategrp-19rplc-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Вышеуказанные обстоятельства влекут за собой административную ответственность должностного лица по п.4 ст.15.15.6 КоАП РФ, что влечет за собой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наложение административного штрафа в размере от пятнадцати тысяч до </w:t>
      </w:r>
      <w:r>
        <w:rPr>
          <w:rStyle w:val="cat-SumInWordsgrp-40rplc-8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Случаи, когда должностное лицо освобождается от административной ответственности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п.6 Примечаний к </w:t>
      </w:r>
      <w:r>
        <w:rPr>
          <w:rFonts w:ascii="Times New Roman" w:eastAsia="Times New Roman" w:hAnsi="Times New Roman" w:cs="Times New Roman"/>
          <w:sz w:val="28"/>
          <w:szCs w:val="28"/>
        </w:rPr>
        <w:t>ст.15.15.6 КоАП РФ за административные правонарушения, предусмотренные данной статьей КоАП РФ, отсутствуют.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 ст.2.2.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 признается совершенным по неосторожности, так как лицо не предвидело возможности наступления последствий </w:t>
      </w:r>
      <w:r>
        <w:rPr>
          <w:rFonts w:ascii="Times New Roman" w:eastAsia="Times New Roman" w:hAnsi="Times New Roman" w:cs="Times New Roman"/>
          <w:sz w:val="28"/>
          <w:szCs w:val="28"/>
        </w:rPr>
        <w:t>своего действия (бездействия), хотя должно было и могло их предвидеть.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 (п.1 </w:t>
      </w:r>
      <w:r>
        <w:rPr>
          <w:rStyle w:val="cat-Addressgrp-14rplc-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Давность привлечения к административной ответственности за нарушение бюджетного законодательства Российской Федерации и иных нормативных правовых актов, регулирующих бюджетные правоотношения, составляет два года со дня совершения административного правонарушения (п.1 </w:t>
      </w:r>
      <w:r>
        <w:rPr>
          <w:rStyle w:val="cat-Addressgrp-15rplc-8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Данные, свидетельствующие о совершении </w:t>
      </w:r>
      <w:r>
        <w:rPr>
          <w:rStyle w:val="cat-FIOgrp-32rplc-8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действий, указывающих на наличие события административного правонарушения, и являющиеся поводом для составления протокола об административном правонарушении, выявлены в ходе проведения Контрольно-счетной палатой мероприятия внешнего муниципального финансового контроля. Таким образом, протокол об административном правонарушении составлен с применением положений примечания к ст.28.1.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выявленных существенных ошибок / искажений и согласно пункту 17 Федерального стандарта №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256н, бюджетная отчетность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19rplc-8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признана недостоверной, что образует состав административного правонарушения по части 4 статьи 15.15.6 КоАП РФ, выразившегося в грубом нарушении требований к бюджетному (бухгалтерскому) учету, в том числе к составлению бюджетной, бухгалтерской (финансовой) отчетности, порядку составления (формирования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консолидированной бухгалтерской (финансовой) отчетности.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–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2rplc-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.15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–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2rplc-9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ст.15.15.6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32rplc-9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ст.15.15.6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32rplc-9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32rplc-9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Style w:val="cat-FIOgrp-32rplc-9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</w:t>
      </w:r>
      <w:r>
        <w:rPr>
          <w:rStyle w:val="cat-FIOgrp-32rplc-9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ч. 4 ст. 15.15.6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4 ст.15.15.6,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34rplc-9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57rplc-9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5rplc-10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виновной в совершении правонарушения по ч. 4 ст. 15.15.6 КоАП РФ и назначить ей административное наказание в виде штрафа в размере </w:t>
      </w:r>
      <w:r>
        <w:rPr>
          <w:rStyle w:val="cat-Sumgrp-38rplc-10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41rplc-10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</w:t>
      </w:r>
      <w:r>
        <w:rPr>
          <w:rStyle w:val="cat-Addressgrp-1rplc-10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счетная палата </w:t>
      </w:r>
      <w:r>
        <w:rPr>
          <w:rStyle w:val="cat-Addressgrp-16rplc-10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л/счет </w:t>
      </w:r>
      <w:r>
        <w:rPr>
          <w:rStyle w:val="cat-PhoneNumbergrp-52rplc-10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 </w:t>
      </w:r>
      <w:r>
        <w:rPr>
          <w:rStyle w:val="cat-Addressgrp-17rplc-10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 Отделение </w:t>
      </w:r>
      <w:r>
        <w:rPr>
          <w:rStyle w:val="cat-Addressgrp-1rplc-10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 УФК по </w:t>
      </w:r>
      <w:r>
        <w:rPr>
          <w:rStyle w:val="cat-Addressgrp-17rplc-10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53rplc-10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р/счет 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к/счет 4010281064537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0000035, ИНН </w:t>
      </w:r>
      <w:r>
        <w:rPr>
          <w:rStyle w:val="cat-PhoneNumbergrp-54rplc-1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55rplc-11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56rplc-1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,КБК </w:t>
      </w:r>
      <w:r>
        <w:rPr>
          <w:rFonts w:ascii="Times New Roman" w:eastAsia="Times New Roman" w:hAnsi="Times New Roman" w:cs="Times New Roman"/>
          <w:sz w:val="28"/>
          <w:szCs w:val="28"/>
        </w:rPr>
        <w:t>84711601242010000140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0410760300655001992315192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 № 5-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42rplc-11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1rplc-1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1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FIOgrp-35rplc-11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8rplc-0">
    <w:name w:val="cat-Date grp-1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0rplc-3">
    <w:name w:val="cat-FIO grp-3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31rplc-6">
    <w:name w:val="cat-FIO grp-31 rplc-6"/>
    <w:basedOn w:val="DefaultParagraphFont"/>
  </w:style>
  <w:style w:type="character" w:customStyle="1" w:styleId="cat-ExternalSystemDefinedgrp-57rplc-7">
    <w:name w:val="cat-ExternalSystemDefined grp-57 rplc-7"/>
    <w:basedOn w:val="DefaultParagraphFont"/>
  </w:style>
  <w:style w:type="character" w:customStyle="1" w:styleId="cat-PassportDatagrp-43rplc-8">
    <w:name w:val="cat-PassportData grp-43 rplc-8"/>
    <w:basedOn w:val="DefaultParagraphFont"/>
  </w:style>
  <w:style w:type="character" w:customStyle="1" w:styleId="cat-PassportDatagrp-44rplc-9">
    <w:name w:val="cat-PassportData grp-44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32rplc-11">
    <w:name w:val="cat-FIO grp-32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Dategrp-19rplc-13">
    <w:name w:val="cat-Date grp-19 rplc-13"/>
    <w:basedOn w:val="DefaultParagraphFont"/>
  </w:style>
  <w:style w:type="character" w:customStyle="1" w:styleId="cat-Dategrp-19rplc-14">
    <w:name w:val="cat-Date grp-19 rplc-14"/>
    <w:basedOn w:val="DefaultParagraphFont"/>
  </w:style>
  <w:style w:type="character" w:customStyle="1" w:styleId="cat-PhoneNumbergrp-47rplc-15">
    <w:name w:val="cat-PhoneNumber grp-47 rplc-15"/>
    <w:basedOn w:val="DefaultParagraphFont"/>
  </w:style>
  <w:style w:type="character" w:customStyle="1" w:styleId="cat-PhoneNumbergrp-48rplc-16">
    <w:name w:val="cat-PhoneNumber grp-48 rplc-16"/>
    <w:basedOn w:val="DefaultParagraphFont"/>
  </w:style>
  <w:style w:type="character" w:customStyle="1" w:styleId="cat-PhoneNumbergrp-49rplc-17">
    <w:name w:val="cat-PhoneNumber grp-49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Dategrp-19rplc-20">
    <w:name w:val="cat-Date grp-19 rplc-20"/>
    <w:basedOn w:val="DefaultParagraphFont"/>
  </w:style>
  <w:style w:type="character" w:customStyle="1" w:styleId="cat-FIOgrp-32rplc-21">
    <w:name w:val="cat-FIO grp-32 rplc-21"/>
    <w:basedOn w:val="DefaultParagraphFont"/>
  </w:style>
  <w:style w:type="character" w:customStyle="1" w:styleId="cat-FIOgrp-32rplc-22">
    <w:name w:val="cat-FIO grp-32 rplc-22"/>
    <w:basedOn w:val="DefaultParagraphFont"/>
  </w:style>
  <w:style w:type="character" w:customStyle="1" w:styleId="cat-Dategrp-20rplc-23">
    <w:name w:val="cat-Date grp-20 rplc-23"/>
    <w:basedOn w:val="DefaultParagraphFont"/>
  </w:style>
  <w:style w:type="character" w:customStyle="1" w:styleId="cat-Dategrp-21rplc-24">
    <w:name w:val="cat-Date grp-21 rplc-24"/>
    <w:basedOn w:val="DefaultParagraphFont"/>
  </w:style>
  <w:style w:type="character" w:customStyle="1" w:styleId="cat-OrganizationNamegrp-46rplc-25">
    <w:name w:val="cat-OrganizationName grp-46 rplc-25"/>
    <w:basedOn w:val="DefaultParagraphFont"/>
  </w:style>
  <w:style w:type="character" w:customStyle="1" w:styleId="cat-PhoneNumbergrp-50rplc-26">
    <w:name w:val="cat-PhoneNumber grp-50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Dategrp-19rplc-28">
    <w:name w:val="cat-Date grp-19 rplc-28"/>
    <w:basedOn w:val="DefaultParagraphFont"/>
  </w:style>
  <w:style w:type="character" w:customStyle="1" w:styleId="cat-Addressgrp-8rplc-29">
    <w:name w:val="cat-Address grp-8 rplc-29"/>
    <w:basedOn w:val="DefaultParagraphFont"/>
  </w:style>
  <w:style w:type="character" w:customStyle="1" w:styleId="cat-Addressgrp-7rplc-30">
    <w:name w:val="cat-Address grp-7 rplc-30"/>
    <w:basedOn w:val="DefaultParagraphFont"/>
  </w:style>
  <w:style w:type="character" w:customStyle="1" w:styleId="cat-Sumgrp-36rplc-31">
    <w:name w:val="cat-Sum grp-36 rplc-31"/>
    <w:basedOn w:val="DefaultParagraphFont"/>
  </w:style>
  <w:style w:type="character" w:customStyle="1" w:styleId="cat-Dategrp-22rplc-32">
    <w:name w:val="cat-Date grp-22 rplc-32"/>
    <w:basedOn w:val="DefaultParagraphFont"/>
  </w:style>
  <w:style w:type="character" w:customStyle="1" w:styleId="cat-Dategrp-19rplc-33">
    <w:name w:val="cat-Date grp-19 rplc-33"/>
    <w:basedOn w:val="DefaultParagraphFont"/>
  </w:style>
  <w:style w:type="character" w:customStyle="1" w:styleId="cat-PhoneNumbergrp-51rplc-34">
    <w:name w:val="cat-PhoneNumber grp-51 rplc-34"/>
    <w:basedOn w:val="DefaultParagraphFont"/>
  </w:style>
  <w:style w:type="character" w:customStyle="1" w:styleId="cat-Sumgrp-37rplc-35">
    <w:name w:val="cat-Sum grp-37 rplc-35"/>
    <w:basedOn w:val="DefaultParagraphFont"/>
  </w:style>
  <w:style w:type="character" w:customStyle="1" w:styleId="cat-SumInWordsgrp-39rplc-36">
    <w:name w:val="cat-SumInWords grp-39 rplc-36"/>
    <w:basedOn w:val="DefaultParagraphFont"/>
  </w:style>
  <w:style w:type="character" w:customStyle="1" w:styleId="cat-Dategrp-23rplc-37">
    <w:name w:val="cat-Date grp-23 rplc-37"/>
    <w:basedOn w:val="DefaultParagraphFont"/>
  </w:style>
  <w:style w:type="character" w:customStyle="1" w:styleId="cat-PhoneNumbergrp-50rplc-38">
    <w:name w:val="cat-PhoneNumber grp-50 rplc-38"/>
    <w:basedOn w:val="DefaultParagraphFont"/>
  </w:style>
  <w:style w:type="character" w:customStyle="1" w:styleId="cat-PhoneNumbergrp-51rplc-39">
    <w:name w:val="cat-PhoneNumber grp-51 rplc-39"/>
    <w:basedOn w:val="DefaultParagraphFont"/>
  </w:style>
  <w:style w:type="character" w:customStyle="1" w:styleId="cat-PhoneNumbergrp-51rplc-40">
    <w:name w:val="cat-PhoneNumber grp-51 rplc-40"/>
    <w:basedOn w:val="DefaultParagraphFont"/>
  </w:style>
  <w:style w:type="character" w:customStyle="1" w:styleId="cat-SumInWordsgrp-39rplc-41">
    <w:name w:val="cat-SumInWords grp-39 rplc-41"/>
    <w:basedOn w:val="DefaultParagraphFont"/>
  </w:style>
  <w:style w:type="character" w:customStyle="1" w:styleId="cat-PhoneNumbergrp-50rplc-42">
    <w:name w:val="cat-PhoneNumber grp-50 rplc-42"/>
    <w:basedOn w:val="DefaultParagraphFont"/>
  </w:style>
  <w:style w:type="character" w:customStyle="1" w:styleId="cat-PhoneNumbergrp-51rplc-43">
    <w:name w:val="cat-PhoneNumber grp-51 rplc-43"/>
    <w:basedOn w:val="DefaultParagraphFont"/>
  </w:style>
  <w:style w:type="character" w:customStyle="1" w:styleId="cat-PhoneNumbergrp-50rplc-44">
    <w:name w:val="cat-PhoneNumber grp-50 rplc-44"/>
    <w:basedOn w:val="DefaultParagraphFont"/>
  </w:style>
  <w:style w:type="character" w:customStyle="1" w:styleId="cat-Dategrp-24rplc-45">
    <w:name w:val="cat-Date grp-24 rplc-45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SumInWordsgrp-39rplc-47">
    <w:name w:val="cat-SumInWords grp-39 rplc-47"/>
    <w:basedOn w:val="DefaultParagraphFont"/>
  </w:style>
  <w:style w:type="character" w:customStyle="1" w:styleId="cat-PhoneNumbergrp-50rplc-48">
    <w:name w:val="cat-PhoneNumber grp-50 rplc-48"/>
    <w:basedOn w:val="DefaultParagraphFont"/>
  </w:style>
  <w:style w:type="character" w:customStyle="1" w:styleId="cat-SumInWordsgrp-39rplc-49">
    <w:name w:val="cat-SumInWords grp-39 rplc-49"/>
    <w:basedOn w:val="DefaultParagraphFont"/>
  </w:style>
  <w:style w:type="character" w:customStyle="1" w:styleId="cat-SumInWordsgrp-39rplc-50">
    <w:name w:val="cat-SumInWords grp-39 rplc-50"/>
    <w:basedOn w:val="DefaultParagraphFont"/>
  </w:style>
  <w:style w:type="character" w:customStyle="1" w:styleId="cat-Dategrp-25rplc-51">
    <w:name w:val="cat-Date grp-25 rplc-51"/>
    <w:basedOn w:val="DefaultParagraphFont"/>
  </w:style>
  <w:style w:type="character" w:customStyle="1" w:styleId="cat-Dategrp-26rplc-52">
    <w:name w:val="cat-Date grp-26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Dategrp-19rplc-54">
    <w:name w:val="cat-Date grp-19 rplc-54"/>
    <w:basedOn w:val="DefaultParagraphFont"/>
  </w:style>
  <w:style w:type="character" w:customStyle="1" w:styleId="cat-PhoneNumbergrp-47rplc-55">
    <w:name w:val="cat-PhoneNumber grp-47 rplc-55"/>
    <w:basedOn w:val="DefaultParagraphFont"/>
  </w:style>
  <w:style w:type="character" w:customStyle="1" w:styleId="cat-PhoneNumbergrp-48rplc-56">
    <w:name w:val="cat-PhoneNumber grp-48 rplc-56"/>
    <w:basedOn w:val="DefaultParagraphFont"/>
  </w:style>
  <w:style w:type="character" w:customStyle="1" w:styleId="cat-PhoneNumbergrp-49rplc-57">
    <w:name w:val="cat-PhoneNumber grp-49 rplc-57"/>
    <w:basedOn w:val="DefaultParagraphFont"/>
  </w:style>
  <w:style w:type="character" w:customStyle="1" w:styleId="cat-Addressgrp-9rplc-58">
    <w:name w:val="cat-Address grp-9 rplc-58"/>
    <w:basedOn w:val="DefaultParagraphFont"/>
  </w:style>
  <w:style w:type="character" w:customStyle="1" w:styleId="cat-Dategrp-19rplc-59">
    <w:name w:val="cat-Date grp-19 rplc-59"/>
    <w:basedOn w:val="DefaultParagraphFont"/>
  </w:style>
  <w:style w:type="character" w:customStyle="1" w:styleId="cat-Addressgrp-2rplc-60">
    <w:name w:val="cat-Address grp-2 rplc-60"/>
    <w:basedOn w:val="DefaultParagraphFont"/>
  </w:style>
  <w:style w:type="character" w:customStyle="1" w:styleId="cat-Dategrp-19rplc-61">
    <w:name w:val="cat-Date grp-19 rplc-61"/>
    <w:basedOn w:val="DefaultParagraphFont"/>
  </w:style>
  <w:style w:type="character" w:customStyle="1" w:styleId="cat-Addressgrp-2rplc-62">
    <w:name w:val="cat-Address grp-2 rplc-62"/>
    <w:basedOn w:val="DefaultParagraphFont"/>
  </w:style>
  <w:style w:type="character" w:customStyle="1" w:styleId="cat-FIOgrp-32rplc-63">
    <w:name w:val="cat-FIO grp-32 rplc-63"/>
    <w:basedOn w:val="DefaultParagraphFont"/>
  </w:style>
  <w:style w:type="character" w:customStyle="1" w:styleId="cat-FIOgrp-33rplc-64">
    <w:name w:val="cat-FIO grp-33 rplc-64"/>
    <w:basedOn w:val="DefaultParagraphFont"/>
  </w:style>
  <w:style w:type="character" w:customStyle="1" w:styleId="cat-Dategrp-27rplc-65">
    <w:name w:val="cat-Date grp-27 rplc-65"/>
    <w:basedOn w:val="DefaultParagraphFont"/>
  </w:style>
  <w:style w:type="character" w:customStyle="1" w:styleId="cat-Addressgrp-10rplc-66">
    <w:name w:val="cat-Address grp-10 rplc-66"/>
    <w:basedOn w:val="DefaultParagraphFont"/>
  </w:style>
  <w:style w:type="character" w:customStyle="1" w:styleId="cat-Dategrp-28rplc-67">
    <w:name w:val="cat-Date grp-28 rplc-67"/>
    <w:basedOn w:val="DefaultParagraphFont"/>
  </w:style>
  <w:style w:type="character" w:customStyle="1" w:styleId="cat-Addressgrp-11rplc-68">
    <w:name w:val="cat-Address grp-11 rplc-68"/>
    <w:basedOn w:val="DefaultParagraphFont"/>
  </w:style>
  <w:style w:type="character" w:customStyle="1" w:styleId="cat-Addressgrp-5rplc-69">
    <w:name w:val="cat-Address grp-5 rplc-69"/>
    <w:basedOn w:val="DefaultParagraphFont"/>
  </w:style>
  <w:style w:type="character" w:customStyle="1" w:styleId="cat-FIOgrp-32rplc-70">
    <w:name w:val="cat-FIO grp-32 rplc-70"/>
    <w:basedOn w:val="DefaultParagraphFont"/>
  </w:style>
  <w:style w:type="character" w:customStyle="1" w:styleId="cat-Addressgrp-12rplc-71">
    <w:name w:val="cat-Address grp-12 rplc-71"/>
    <w:basedOn w:val="DefaultParagraphFont"/>
  </w:style>
  <w:style w:type="character" w:customStyle="1" w:styleId="cat-Addressgrp-11rplc-72">
    <w:name w:val="cat-Address grp-11 rplc-72"/>
    <w:basedOn w:val="DefaultParagraphFont"/>
  </w:style>
  <w:style w:type="character" w:customStyle="1" w:styleId="cat-Addressgrp-10rplc-73">
    <w:name w:val="cat-Address grp-10 rplc-73"/>
    <w:basedOn w:val="DefaultParagraphFont"/>
  </w:style>
  <w:style w:type="character" w:customStyle="1" w:styleId="cat-Dategrp-29rplc-74">
    <w:name w:val="cat-Date grp-29 rplc-74"/>
    <w:basedOn w:val="DefaultParagraphFont"/>
  </w:style>
  <w:style w:type="character" w:customStyle="1" w:styleId="cat-Addressgrp-10rplc-75">
    <w:name w:val="cat-Address grp-10 rplc-75"/>
    <w:basedOn w:val="DefaultParagraphFont"/>
  </w:style>
  <w:style w:type="character" w:customStyle="1" w:styleId="cat-FIOgrp-32rplc-76">
    <w:name w:val="cat-FIO grp-32 rplc-76"/>
    <w:basedOn w:val="DefaultParagraphFont"/>
  </w:style>
  <w:style w:type="character" w:customStyle="1" w:styleId="cat-Addressgrp-6rplc-77">
    <w:name w:val="cat-Address grp-6 rplc-77"/>
    <w:basedOn w:val="DefaultParagraphFont"/>
  </w:style>
  <w:style w:type="character" w:customStyle="1" w:styleId="cat-Addressgrp-6rplc-78">
    <w:name w:val="cat-Address grp-6 rplc-78"/>
    <w:basedOn w:val="DefaultParagraphFont"/>
  </w:style>
  <w:style w:type="character" w:customStyle="1" w:styleId="cat-Addressgrp-13rplc-79">
    <w:name w:val="cat-Address grp-13 rplc-79"/>
    <w:basedOn w:val="DefaultParagraphFont"/>
  </w:style>
  <w:style w:type="character" w:customStyle="1" w:styleId="cat-FIOgrp-31rplc-80">
    <w:name w:val="cat-FIO grp-31 rplc-80"/>
    <w:basedOn w:val="DefaultParagraphFont"/>
  </w:style>
  <w:style w:type="character" w:customStyle="1" w:styleId="cat-Addressgrp-2rplc-81">
    <w:name w:val="cat-Address grp-2 rplc-81"/>
    <w:basedOn w:val="DefaultParagraphFont"/>
  </w:style>
  <w:style w:type="character" w:customStyle="1" w:styleId="cat-Dategrp-19rplc-82">
    <w:name w:val="cat-Date grp-19 rplc-82"/>
    <w:basedOn w:val="DefaultParagraphFont"/>
  </w:style>
  <w:style w:type="character" w:customStyle="1" w:styleId="cat-SumInWordsgrp-40rplc-83">
    <w:name w:val="cat-SumInWords grp-40 rplc-83"/>
    <w:basedOn w:val="DefaultParagraphFont"/>
  </w:style>
  <w:style w:type="character" w:customStyle="1" w:styleId="cat-Addressgrp-14rplc-84">
    <w:name w:val="cat-Address grp-14 rplc-84"/>
    <w:basedOn w:val="DefaultParagraphFont"/>
  </w:style>
  <w:style w:type="character" w:customStyle="1" w:styleId="cat-Addressgrp-15rplc-85">
    <w:name w:val="cat-Address grp-15 rplc-85"/>
    <w:basedOn w:val="DefaultParagraphFont"/>
  </w:style>
  <w:style w:type="character" w:customStyle="1" w:styleId="cat-FIOgrp-32rplc-86">
    <w:name w:val="cat-FIO grp-32 rplc-86"/>
    <w:basedOn w:val="DefaultParagraphFont"/>
  </w:style>
  <w:style w:type="character" w:customStyle="1" w:styleId="cat-Addressgrp-2rplc-87">
    <w:name w:val="cat-Address grp-2 rplc-87"/>
    <w:basedOn w:val="DefaultParagraphFont"/>
  </w:style>
  <w:style w:type="character" w:customStyle="1" w:styleId="cat-Dategrp-19rplc-88">
    <w:name w:val="cat-Date grp-19 rplc-88"/>
    <w:basedOn w:val="DefaultParagraphFont"/>
  </w:style>
  <w:style w:type="character" w:customStyle="1" w:styleId="cat-Addressgrp-2rplc-89">
    <w:name w:val="cat-Address grp-2 rplc-89"/>
    <w:basedOn w:val="DefaultParagraphFont"/>
  </w:style>
  <w:style w:type="character" w:customStyle="1" w:styleId="cat-FIOgrp-32rplc-90">
    <w:name w:val="cat-FIO grp-32 rplc-90"/>
    <w:basedOn w:val="DefaultParagraphFont"/>
  </w:style>
  <w:style w:type="character" w:customStyle="1" w:styleId="cat-Addressgrp-2rplc-91">
    <w:name w:val="cat-Address grp-2 rplc-91"/>
    <w:basedOn w:val="DefaultParagraphFont"/>
  </w:style>
  <w:style w:type="character" w:customStyle="1" w:styleId="cat-FIOgrp-32rplc-92">
    <w:name w:val="cat-FIO grp-32 rplc-92"/>
    <w:basedOn w:val="DefaultParagraphFont"/>
  </w:style>
  <w:style w:type="character" w:customStyle="1" w:styleId="cat-FIOgrp-32rplc-93">
    <w:name w:val="cat-FIO grp-32 rplc-93"/>
    <w:basedOn w:val="DefaultParagraphFont"/>
  </w:style>
  <w:style w:type="character" w:customStyle="1" w:styleId="cat-FIOgrp-32rplc-94">
    <w:name w:val="cat-FIO grp-32 rplc-94"/>
    <w:basedOn w:val="DefaultParagraphFont"/>
  </w:style>
  <w:style w:type="character" w:customStyle="1" w:styleId="cat-FIOgrp-32rplc-95">
    <w:name w:val="cat-FIO grp-32 rplc-95"/>
    <w:basedOn w:val="DefaultParagraphFont"/>
  </w:style>
  <w:style w:type="character" w:customStyle="1" w:styleId="cat-FIOgrp-32rplc-96">
    <w:name w:val="cat-FIO grp-32 rplc-96"/>
    <w:basedOn w:val="DefaultParagraphFont"/>
  </w:style>
  <w:style w:type="character" w:customStyle="1" w:styleId="cat-FIOgrp-32rplc-97">
    <w:name w:val="cat-FIO grp-32 rplc-97"/>
    <w:basedOn w:val="DefaultParagraphFont"/>
  </w:style>
  <w:style w:type="character" w:customStyle="1" w:styleId="cat-FIOgrp-34rplc-98">
    <w:name w:val="cat-FIO grp-34 rplc-98"/>
    <w:basedOn w:val="DefaultParagraphFont"/>
  </w:style>
  <w:style w:type="character" w:customStyle="1" w:styleId="cat-ExternalSystemDefinedgrp-57rplc-99">
    <w:name w:val="cat-ExternalSystemDefined grp-57 rplc-99"/>
    <w:basedOn w:val="DefaultParagraphFont"/>
  </w:style>
  <w:style w:type="character" w:customStyle="1" w:styleId="cat-PassportDatagrp-45rplc-100">
    <w:name w:val="cat-PassportData grp-45 rplc-100"/>
    <w:basedOn w:val="DefaultParagraphFont"/>
  </w:style>
  <w:style w:type="character" w:customStyle="1" w:styleId="cat-Sumgrp-38rplc-101">
    <w:name w:val="cat-Sum grp-38 rplc-101"/>
    <w:basedOn w:val="DefaultParagraphFont"/>
  </w:style>
  <w:style w:type="character" w:customStyle="1" w:styleId="cat-SumInWordsgrp-41rplc-102">
    <w:name w:val="cat-SumInWords grp-41 rplc-102"/>
    <w:basedOn w:val="DefaultParagraphFont"/>
  </w:style>
  <w:style w:type="character" w:customStyle="1" w:styleId="cat-Addressgrp-1rplc-103">
    <w:name w:val="cat-Address grp-1 rplc-103"/>
    <w:basedOn w:val="DefaultParagraphFont"/>
  </w:style>
  <w:style w:type="character" w:customStyle="1" w:styleId="cat-Addressgrp-16rplc-104">
    <w:name w:val="cat-Address grp-16 rplc-104"/>
    <w:basedOn w:val="DefaultParagraphFont"/>
  </w:style>
  <w:style w:type="character" w:customStyle="1" w:styleId="cat-PhoneNumbergrp-52rplc-105">
    <w:name w:val="cat-PhoneNumber grp-52 rplc-105"/>
    <w:basedOn w:val="DefaultParagraphFont"/>
  </w:style>
  <w:style w:type="character" w:customStyle="1" w:styleId="cat-Addressgrp-17rplc-106">
    <w:name w:val="cat-Address grp-17 rplc-106"/>
    <w:basedOn w:val="DefaultParagraphFont"/>
  </w:style>
  <w:style w:type="character" w:customStyle="1" w:styleId="cat-Addressgrp-1rplc-107">
    <w:name w:val="cat-Address grp-1 rplc-107"/>
    <w:basedOn w:val="DefaultParagraphFont"/>
  </w:style>
  <w:style w:type="character" w:customStyle="1" w:styleId="cat-Addressgrp-17rplc-108">
    <w:name w:val="cat-Address grp-17 rplc-108"/>
    <w:basedOn w:val="DefaultParagraphFont"/>
  </w:style>
  <w:style w:type="character" w:customStyle="1" w:styleId="cat-PhoneNumbergrp-53rplc-109">
    <w:name w:val="cat-PhoneNumber grp-53 rplc-109"/>
    <w:basedOn w:val="DefaultParagraphFont"/>
  </w:style>
  <w:style w:type="character" w:customStyle="1" w:styleId="cat-PhoneNumbergrp-54rplc-110">
    <w:name w:val="cat-PhoneNumber grp-54 rplc-110"/>
    <w:basedOn w:val="DefaultParagraphFont"/>
  </w:style>
  <w:style w:type="character" w:customStyle="1" w:styleId="cat-PhoneNumbergrp-55rplc-111">
    <w:name w:val="cat-PhoneNumber grp-55 rplc-111"/>
    <w:basedOn w:val="DefaultParagraphFont"/>
  </w:style>
  <w:style w:type="character" w:customStyle="1" w:styleId="cat-PhoneNumbergrp-56rplc-112">
    <w:name w:val="cat-PhoneNumber grp-56 rplc-112"/>
    <w:basedOn w:val="DefaultParagraphFont"/>
  </w:style>
  <w:style w:type="character" w:customStyle="1" w:styleId="cat-SumInWordsgrp-42rplc-113">
    <w:name w:val="cat-SumInWords grp-42 rplc-113"/>
    <w:basedOn w:val="DefaultParagraphFont"/>
  </w:style>
  <w:style w:type="character" w:customStyle="1" w:styleId="cat-Addressgrp-1rplc-114">
    <w:name w:val="cat-Address grp-1 rplc-114"/>
    <w:basedOn w:val="DefaultParagraphFont"/>
  </w:style>
  <w:style w:type="character" w:customStyle="1" w:styleId="cat-Addressgrp-1rplc-115">
    <w:name w:val="cat-Address grp-1 rplc-115"/>
    <w:basedOn w:val="DefaultParagraphFont"/>
  </w:style>
  <w:style w:type="character" w:customStyle="1" w:styleId="cat-FIOgrp-35rplc-116">
    <w:name w:val="cat-FIO grp-35 rplc-1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