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223</w:t>
      </w:r>
      <w:r>
        <w:rPr>
          <w:b w:val="0"/>
          <w:bCs w:val="0"/>
          <w:i w:val="0"/>
          <w:sz w:val="28"/>
          <w:szCs w:val="28"/>
        </w:rPr>
        <w:t>/2020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Style w:val="cat-UserDefinedgrp-21rplc-5"/>
          <w:rFonts w:ascii="Times New Roman" w:eastAsia="Times New Roman" w:hAnsi="Times New Roman" w:cs="Times New Roman"/>
          <w:b/>
          <w:bCs/>
          <w:sz w:val="28"/>
          <w:szCs w:val="28"/>
        </w:rPr>
        <w:t>Михайлова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 холостого, 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на иждивении не имеющего, 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отсутствовали денежные средства для уплаты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РК-333169/1252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имеет не постоянный заработок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</w:t>
      </w:r>
      <w:r>
        <w:rPr>
          <w:rFonts w:ascii="Times New Roman" w:eastAsia="Times New Roman" w:hAnsi="Times New Roman" w:cs="Times New Roman"/>
          <w:sz w:val="28"/>
          <w:szCs w:val="28"/>
        </w:rPr>
        <w:t>ятельства, а именно ранее трижды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аналогичное правонарушение, предусмотренное ч. 1 ст. 20.25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Скочило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21rplc-39"/>
          <w:rFonts w:ascii="Times New Roman" w:eastAsia="Times New Roman" w:hAnsi="Times New Roman" w:cs="Times New Roman"/>
          <w:sz w:val="28"/>
          <w:szCs w:val="28"/>
        </w:rPr>
        <w:t>Скочило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50 (пятьдесят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22rplc-1">
    <w:name w:val="cat-UserDefined grp-22 rplc-1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Timegrp-20rplc-24">
    <w:name w:val="cat-Time grp-20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UserDefinedgrp-21rplc-39">
    <w:name w:val="cat-UserDefined grp-21 rplc-39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7rplc-44">
    <w:name w:val="cat-Address grp-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