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257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2023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</w:t>
      </w:r>
      <w:r>
        <w:rPr>
          <w:b w:val="0"/>
          <w:bCs w:val="0"/>
          <w:i w:val="0"/>
          <w:sz w:val="28"/>
          <w:szCs w:val="28"/>
        </w:rPr>
        <w:t xml:space="preserve">УИД </w:t>
      </w:r>
      <w:r>
        <w:rPr>
          <w:b w:val="0"/>
          <w:bCs w:val="0"/>
          <w:i w:val="0"/>
          <w:sz w:val="28"/>
          <w:szCs w:val="28"/>
        </w:rPr>
        <w:t>91</w:t>
      </w:r>
      <w:r>
        <w:rPr>
          <w:b w:val="0"/>
          <w:bCs w:val="0"/>
          <w:i w:val="0"/>
          <w:sz w:val="28"/>
          <w:szCs w:val="28"/>
        </w:rPr>
        <w:t>MS</w:t>
      </w:r>
      <w:r>
        <w:rPr>
          <w:b w:val="0"/>
          <w:bCs w:val="0"/>
          <w:i w:val="0"/>
          <w:sz w:val="28"/>
          <w:szCs w:val="28"/>
        </w:rPr>
        <w:t>0065-</w:t>
      </w:r>
      <w:r>
        <w:rPr>
          <w:rStyle w:val="cat-PhoneNumbergrp-41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42rplc-1"/>
          <w:b w:val="0"/>
          <w:bCs w:val="0"/>
          <w:i w:val="0"/>
          <w:sz w:val="28"/>
          <w:szCs w:val="28"/>
        </w:rPr>
        <w:t>телефон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каб.1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отсутствие лица, привлекаемого к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вной ответственности </w:t>
      </w:r>
      <w:r>
        <w:rPr>
          <w:rStyle w:val="cat-FIOgrp-2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надзорной деятельности ГУ МЧС России по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Отделение надзорной деятельности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 без образования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820"/>
        <w:jc w:val="both"/>
        <w:rPr>
          <w:sz w:val="28"/>
          <w:szCs w:val="28"/>
        </w:rPr>
      </w:pPr>
      <w:r>
        <w:rPr>
          <w:rStyle w:val="cat-FIOgrp-3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PassportDatagrp-3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</w:t>
      </w:r>
      <w:r>
        <w:rPr>
          <w:rStyle w:val="cat-PassportDatagrp-3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генеральным директором </w:t>
      </w:r>
      <w:r>
        <w:rPr>
          <w:rStyle w:val="cat-OrganizationNamegrp-3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влечении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2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40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срок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</w:t>
      </w:r>
      <w:r>
        <w:rPr>
          <w:rFonts w:ascii="Times New Roman" w:eastAsia="Times New Roman" w:hAnsi="Times New Roman" w:cs="Times New Roman"/>
          <w:sz w:val="28"/>
          <w:szCs w:val="28"/>
        </w:rPr>
        <w:t>500/1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выданное отделением надзорной деятельности по Нижнегорскому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оборудован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автомат</w:t>
      </w:r>
      <w:r>
        <w:rPr>
          <w:rFonts w:ascii="Times New Roman" w:eastAsia="Times New Roman" w:hAnsi="Times New Roman" w:cs="Times New Roman"/>
          <w:sz w:val="28"/>
          <w:szCs w:val="28"/>
        </w:rPr>
        <w:t>ической пожарной сигнализацией ст.</w:t>
      </w:r>
      <w:r>
        <w:rPr>
          <w:rFonts w:ascii="Times New Roman" w:eastAsia="Times New Roman" w:hAnsi="Times New Roman" w:cs="Times New Roman"/>
          <w:sz w:val="28"/>
          <w:szCs w:val="28"/>
        </w:rPr>
        <w:t>, 54, 83, 91, 123-ФЗ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1 СП </w:t>
      </w:r>
      <w:r>
        <w:rPr>
          <w:rFonts w:ascii="Times New Roman" w:eastAsia="Times New Roman" w:hAnsi="Times New Roman" w:cs="Times New Roman"/>
          <w:sz w:val="28"/>
          <w:szCs w:val="28"/>
        </w:rPr>
        <w:t>486.</w:t>
      </w:r>
      <w:r>
        <w:rPr>
          <w:rStyle w:val="cat-PhoneNumbergrp-43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«Системы противопожарной защиты. Перечень зданий, сооружений, помещений и оборудования, подлежащих защите автоматическими установками </w:t>
      </w:r>
      <w:r>
        <w:rPr>
          <w:rFonts w:ascii="Times New Roman" w:eastAsia="Times New Roman" w:hAnsi="Times New Roman" w:cs="Times New Roman"/>
          <w:sz w:val="28"/>
          <w:szCs w:val="28"/>
        </w:rPr>
        <w:t>пожаротушения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системами пожарной сигнализации»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(аналогичное требование было закреплено в утратившем силу прил. А п. 9 табл. А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 5.13130.2009 «Системы противопожарной защиты установки пожарной сигнализации и пожаротушения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автоматические нормы и правила проектирования»,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</w:t>
      </w:r>
      <w:r>
        <w:rPr>
          <w:rFonts w:ascii="Times New Roman" w:eastAsia="Times New Roman" w:hAnsi="Times New Roman" w:cs="Times New Roman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системой оповещения и управления эвакуации людей при пожаре ст. 54.84 Федерального закона от </w:t>
      </w:r>
      <w:r>
        <w:rPr>
          <w:rStyle w:val="cat-Dategrp-1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безопасности»; </w:t>
      </w:r>
      <w:r>
        <w:rPr>
          <w:rFonts w:ascii="Times New Roman" w:eastAsia="Times New Roman" w:hAnsi="Times New Roman" w:cs="Times New Roman"/>
          <w:sz w:val="28"/>
          <w:szCs w:val="28"/>
        </w:rPr>
        <w:t>раздел 7 табл.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свода правил 3.13130.2009 «Системы противопожарной защиты. Система оповещения и управления эвакуацией людей при пожаре. Требования пожарной безопасности»,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выдержаны противопожарные расстояния от здания по адресу: </w:t>
      </w:r>
      <w:r>
        <w:rPr>
          <w:rStyle w:val="cat-Addressgrp-2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до здания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(фактическое расстояние между наружными стенами составляет 0.97 метра) и здания по адресу: </w:t>
      </w:r>
      <w:r>
        <w:rPr>
          <w:rStyle w:val="cat-Addressgrp-2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(фактическое расстояние между наружными стенами составляет 2,21 метра). Минимальное расстояние согласно приложению 3.1 Д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60-92** «Градостроительство. Планировка и застройка сельских и городской поселений», пункту 4.3 таблицы 1 СП 4.13130.2013 «Си</w:t>
      </w:r>
      <w:r>
        <w:rPr>
          <w:rFonts w:ascii="Times New Roman" w:eastAsia="Times New Roman" w:hAnsi="Times New Roman" w:cs="Times New Roman"/>
          <w:sz w:val="28"/>
          <w:szCs w:val="28"/>
        </w:rPr>
        <w:t>стемы противопожарной защиты. Ограничение распространения пожара на объектах защиты. Требование к объемно планировочным и конструктивным решениям» должно составлять не менее 6 метров (при условии отнесения знаний к 1 или 2 степени огнестойкости) либо 10 метров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(для зданий 3.4.5 степени огнестойкости)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что предусмотрена административная ответст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Style w:val="cat-FIOgrp-2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извещенным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образом, что подтверждаетс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документами в материалах дела, </w:t>
      </w:r>
      <w:r>
        <w:rPr>
          <w:rFonts w:ascii="Times New Roman" w:eastAsia="Times New Roman" w:hAnsi="Times New Roman" w:cs="Times New Roman"/>
          <w:sz w:val="28"/>
          <w:szCs w:val="28"/>
        </w:rPr>
        <w:t>причину неявки суду не сообщил.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>
        <w:rPr>
          <w:rStyle w:val="cat-FIOgrp-2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отсутствие ходатайств об отложении дела, суд на основании ст. 25.1 ч.2 КоАП РФ считает возмож</w:t>
      </w:r>
      <w:r>
        <w:rPr>
          <w:rFonts w:ascii="Times New Roman" w:eastAsia="Times New Roman" w:hAnsi="Times New Roman" w:cs="Times New Roman"/>
          <w:sz w:val="28"/>
          <w:szCs w:val="28"/>
        </w:rPr>
        <w:t>ным рассмотреть данное дело в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1</w:t>
      </w:r>
      <w:r>
        <w:rPr>
          <w:rFonts w:ascii="Times New Roman" w:eastAsia="Times New Roman" w:hAnsi="Times New Roman" w:cs="Times New Roman"/>
          <w:sz w:val="28"/>
          <w:szCs w:val="28"/>
        </w:rPr>
        <w:t>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17/2023/40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установлено, что </w:t>
      </w:r>
      <w:r>
        <w:rPr>
          <w:rStyle w:val="cat-FIOgrp-2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6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40rplc-3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 по адресу: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в установленный срок не выполнил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500/1 от </w:t>
      </w:r>
      <w:r>
        <w:rPr>
          <w:rStyle w:val="cat-Dategrp-17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выданное отделением надзорной деятельности по Нижнегорскому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здание не оборудовано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автоматической пожарной сигнализацией ст., 54, 83, 91, 123-ФЗ таблица 1 СП 486.</w:t>
      </w:r>
      <w:r>
        <w:rPr>
          <w:rStyle w:val="cat-PhoneNumbergrp-43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.2020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сигнализации» (аналогичное требование было закреплено в утратившем силу прил. А п. 9 табл. А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 5.13130.2009 «Системы противопожарной защиты установки пожарной сигнализации и пожаротушения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автоматические нормы и правила проектирования», 2) здание не оборудовано системой оповещения и управления эвакуации людей при пожаре ст. 54.84 Федерального закона от </w:t>
      </w:r>
      <w:r>
        <w:rPr>
          <w:rStyle w:val="cat-Dategrp-18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123-ФЗ «Технический регламент о требованиях пожарной безопасности»; раздел 7 табл. 2 свода правил 3.13130.2009 «Системы противопожарной защиты. Система оповещения и управления эвакуацией людей при пожаре. Требования пожарной безопасности», 3) не выдержаны противопожарные расстояния от здания по адресу: 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до здания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(фактическое расстояние между наружными стенами составляет 0.97 метра) и здания по адресу: </w:t>
      </w:r>
      <w:r>
        <w:rPr>
          <w:rStyle w:val="cat-Addressgrp-2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(фактическое расстояние между наружными стенами составляет 2,21 метра). Минимальное расстояние согласно приложению 3.1 Д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60-92** «Градостроительство. Планировка и застройка сельских и городской поселений», пункту 4.3 таблицы 1 СП 4.13130.2013 «Системы противопожарной защиты. Ограничение распространения пожара на объектах защиты. Требование к объемно планировочным и конструктивным решениям» должно составлять не менее 6 метров (при условии отнесения знаний к 1 или 2 степени огнестойкости) либо 10 метров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(для зданий 3.4.5 степени огнестойкости)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500/1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от </w:t>
      </w:r>
      <w:r>
        <w:rPr>
          <w:rStyle w:val="cat-Dategrp-17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пожарной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опасности </w:t>
      </w:r>
      <w:r>
        <w:rPr>
          <w:rStyle w:val="cat-FIOgrp-29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выполнения до </w:t>
      </w:r>
      <w:r>
        <w:rPr>
          <w:rStyle w:val="cat-Dategrp-20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Решением об отсрочке исполнения ранее выданного предписания от </w:t>
      </w:r>
      <w:r>
        <w:rPr>
          <w:rStyle w:val="cat-Dategrp-21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исполнения продлен до </w:t>
      </w:r>
      <w:r>
        <w:rPr>
          <w:rStyle w:val="cat-Dategrp-22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момент проведения проверки </w:t>
      </w:r>
      <w:r>
        <w:rPr>
          <w:rStyle w:val="cat-Dategrp-23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не исполнено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 у</w:t>
      </w:r>
      <w:r>
        <w:rPr>
          <w:rFonts w:ascii="Times New Roman" w:eastAsia="Times New Roman" w:hAnsi="Times New Roman" w:cs="Times New Roman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составлено в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4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подписью в указанном предписании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предписания, выданного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ОНД по Нижнегорскому </w:t>
      </w:r>
      <w:r>
        <w:rPr>
          <w:rStyle w:val="cat-Addressgrp-5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МЧС России по </w:t>
      </w:r>
      <w:r>
        <w:rPr>
          <w:rStyle w:val="cat-Addressgrp-1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пункты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5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распоряжения начальника отделения надзорной деятельности по </w:t>
      </w:r>
      <w:r>
        <w:rPr>
          <w:rStyle w:val="cat-Addressgrp-2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надзорной деятельности и профилактической работы ГУ МЧС России по </w:t>
      </w:r>
      <w:r>
        <w:rPr>
          <w:rStyle w:val="cat-Addressgrp-1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 не устранены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Style w:val="cat-FIOgrp-29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предпринималис</w:t>
      </w:r>
      <w:r>
        <w:rPr>
          <w:rFonts w:ascii="Times New Roman" w:eastAsia="Times New Roman" w:hAnsi="Times New Roman" w:cs="Times New Roman"/>
          <w:sz w:val="28"/>
          <w:szCs w:val="28"/>
        </w:rPr>
        <w:t>ь меры по выполнению предписания.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 делу являются допустимыми последовательными и не противоречивыми.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1.2 Кодекса Российской Федерации об административных правонарушения, установлено, что з</w:t>
      </w:r>
      <w:r>
        <w:rPr>
          <w:rFonts w:ascii="Times New Roman" w:eastAsia="Times New Roman" w:hAnsi="Times New Roman" w:cs="Times New Roman"/>
          <w:sz w:val="28"/>
          <w:szCs w:val="28"/>
        </w:rPr>
        <w:t>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административных правонарушений, а также предупреждение административных правонарушений.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статьи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влечет наложение административного штрафа на граждан в размере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одной тысячи пятисот до </w:t>
      </w:r>
      <w:r>
        <w:rPr>
          <w:rStyle w:val="cat-SumInWordsgrp-32rplc-6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на должностных лиц - от </w:t>
      </w:r>
      <w:r>
        <w:rPr>
          <w:rFonts w:ascii="Times New Roman" w:eastAsia="Times New Roman" w:hAnsi="Times New Roman" w:cs="Times New Roman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до </w:t>
      </w:r>
      <w:r>
        <w:rPr>
          <w:rStyle w:val="cat-SumInWordsgrp-33rplc-6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юридических лиц - от </w:t>
      </w:r>
      <w:r>
        <w:rPr>
          <w:rFonts w:ascii="Times New Roman" w:eastAsia="Times New Roman" w:hAnsi="Times New Roman" w:cs="Times New Roman"/>
          <w:sz w:val="28"/>
          <w:szCs w:val="28"/>
        </w:rPr>
        <w:t>семидесяти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до </w:t>
      </w:r>
      <w:r>
        <w:rPr>
          <w:rStyle w:val="cat-SumInWordsgrp-34rplc-6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26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69 "О пожарной безопасности", ответственность за нарушение требований пожарной безопасности в соответствии с действующим законодательством несут собственники имущества, руководители федеральных органов исполнительной власти и местного самоуправления, лица, уполномоченные владеть, пользоваться или распоряжаться имуществом, в том числе руководители организаций, а также должностные лица в пределах их компетенции и лица,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установленном порядке назначенные ответственными за обеспечение пожарной безопасности.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Законные предписания (постановления, представления) органов (должностных лиц), осуществляющих государственный надзор (контроль), обусловлены содержанием их полномочий, определенных законодательством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смыслу п. 3 ст. 9 Федерального закона от </w:t>
      </w:r>
      <w:r>
        <w:rPr>
          <w:rStyle w:val="cat-Dategrp-27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134-ФЗ "О защите прав юридических лиц и индивидуальных предпринимателей при проведении государственного контроля (надзора)" при выявлении в результате мероприятия по контролю административного правонарушения должностным лицом органа государственного контроля (надзора) составляется протокол в порядке, установленном КоАП, и даются предписания об устранении выявленных 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17 указанного Федерального закона должностные лица, индивидуальные предприниматели, их работники и их представители, исполняющие в установленный срок предписания, постановления органов государственного контроля (надзора) об устранении выявленных нарушений, несут административную ответственность, установленную ч. 1 комментируемой статьи (см. последний абзац п. 4 комментария к ст. 9.2, а также п. 13 комментария к ст. 19.4).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26.2 КоАП РФ предусмотрено,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26.11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Style w:val="cat-FIOgrp-29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 без образования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исполнения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500/1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правомерно проведена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распоряжением о проведении внеплановой проверки от </w:t>
      </w:r>
      <w:r>
        <w:rPr>
          <w:rStyle w:val="cat-Dategrp-25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указанным предписанием установлен срок его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учетом продления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22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данный срок достаточным для устранения нарушений указанных в предписании.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Статьи 1</w:t>
      </w:r>
      <w:r>
        <w:rPr>
          <w:rFonts w:ascii="Times New Roman" w:eastAsia="Times New Roman" w:hAnsi="Times New Roman" w:cs="Times New Roman"/>
          <w:sz w:val="28"/>
          <w:szCs w:val="28"/>
        </w:rPr>
        <w:t>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предусматривает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суда не имеется оснований не доверять доказательствам, собранным по делу, все доказательства суд в силу ч.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26.2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 допустимыми.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безусловной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суду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предоставлено того доказательства,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приняты все меры по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выполнению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,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обратного, </w:t>
      </w:r>
      <w:r>
        <w:rPr>
          <w:rFonts w:ascii="Times New Roman" w:eastAsia="Times New Roman" w:hAnsi="Times New Roman" w:cs="Times New Roman"/>
          <w:sz w:val="28"/>
          <w:szCs w:val="28"/>
        </w:rPr>
        <w:t>данные документы не 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1.6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лицо, привлекаемое к административной ответственности не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подвергнуто административному наказанию и </w:t>
      </w:r>
      <w:r>
        <w:rPr>
          <w:rFonts w:ascii="Times New Roman" w:eastAsia="Times New Roman" w:hAnsi="Times New Roman" w:cs="Times New Roman"/>
          <w:sz w:val="28"/>
          <w:szCs w:val="28"/>
        </w:rPr>
        <w:t>мерам обеспечения производства по делу об административном правонарушении иначе как на основаниях и в порядке установленных законом.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2.1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признания предписания законным требуется, чтобы оно было выдано уполномоченным должностным лицом в пределах его компетенции, содержало характеристику допущенных нарушений и требование об устранении нарушений законодательства, но не определяло характер необходимых действий, которые должны быть совершены для его выполнения, а также не разрешало правовые споры, подменяя собой судебные органы.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Исполнимость предписания является требованием к данному виду ненормативного акта и одним из элементов его законности,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имеющиеся в материалах дела доказательства,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признает, что </w:t>
      </w:r>
      <w:r>
        <w:rPr>
          <w:rStyle w:val="cat-FIOgrp-29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</w:t>
      </w:r>
      <w:r>
        <w:rPr>
          <w:rFonts w:ascii="Times New Roman" w:eastAsia="Times New Roman" w:hAnsi="Times New Roman" w:cs="Times New Roman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500/1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выданное МЧС России по </w:t>
      </w:r>
      <w:r>
        <w:rPr>
          <w:rStyle w:val="cat-Addressgrp-2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 учетом продления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22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доказательств, подтверждающих принятие </w:t>
      </w:r>
      <w:r>
        <w:rPr>
          <w:rStyle w:val="cat-FIOgrp-29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всех зависящих от него, достаточных и своевременных мер для </w:t>
      </w:r>
      <w:r>
        <w:rPr>
          <w:rFonts w:ascii="Times New Roman" w:eastAsia="Times New Roman" w:hAnsi="Times New Roman" w:cs="Times New Roman"/>
          <w:sz w:val="28"/>
          <w:szCs w:val="28"/>
        </w:rPr>
        <w:t>устранения нарушений указанных в предписании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7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представлено,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FIOgrp-29rplc-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объективную сторону состава административного правонарушения. Чрезвычайных и непредотвратимых обстоятельств, исключающих возможность соблюдения действующих нор и правил,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законами и иными нормативными правовыми актами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уполномоченные государственные органы (должностные лица) вправе осуществлять надзорные (контрольные) функции в отношении граждан, должностных лиц органов исполнительной власти и органов местного самоуправления, индивидуальных предпринимателей и организаций, осуществляющих коммерческую и некоммерческую деятельность. При этом указанные органы и должностные лица могут выносить обязательные для исполнения предписания (постановления, представления, решения) о прекращении нарушений тех или иных норм закона, устранении негативных последствий, восстановлении первоначального положения, заключении договоров с конкретными условиями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субъектами, о расторжении или изменении договоров и т.д.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раждане, должностные лица, юридические лица и индивидуальные предприниматели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Объективная сторона правонарушений, предусмотренных данной статьей, состоит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читывая вышеизложенные доказательства в их совок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упности, суд приходит к выводу, что действия </w:t>
      </w:r>
      <w:r>
        <w:rPr>
          <w:rStyle w:val="cat-FIOgrp-29rplc-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вышеизложенные доказательства в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сово</w:t>
      </w:r>
      <w:r>
        <w:rPr>
          <w:rFonts w:ascii="Times New Roman" w:eastAsia="Times New Roman" w:hAnsi="Times New Roman" w:cs="Times New Roman"/>
          <w:sz w:val="28"/>
          <w:szCs w:val="28"/>
        </w:rPr>
        <w:t>купности, суд приходит к выводу, что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оказательства по делу являются допустимыми последовательными и не противоречивыми.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имущественное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финансовое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те обстоятельства, что </w:t>
      </w:r>
      <w:r>
        <w:rPr>
          <w:rStyle w:val="cat-FIOgrp-29rplc-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предпринимал меры для устранения указанных в предписании 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чего </w:t>
      </w:r>
      <w:r>
        <w:rPr>
          <w:rFonts w:ascii="Times New Roman" w:eastAsia="Times New Roman" w:hAnsi="Times New Roman" w:cs="Times New Roman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не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поэтому мировой судья приходит к выводу о том, что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ненадлежащим образом выполнило свои обязанности, не приняв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</w:rPr>
        <w:t>зависящие от 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достаточные и своевременные меры, </w:t>
      </w:r>
      <w:r>
        <w:rPr>
          <w:rFonts w:ascii="Times New Roman" w:eastAsia="Times New Roman" w:hAnsi="Times New Roman" w:cs="Times New Roman"/>
          <w:sz w:val="28"/>
          <w:szCs w:val="28"/>
        </w:rPr>
        <w:t>обязано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пришел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нижнем </w:t>
      </w:r>
      <w:r>
        <w:rPr>
          <w:rFonts w:ascii="Times New Roman" w:eastAsia="Times New Roman" w:hAnsi="Times New Roman" w:cs="Times New Roman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санкции ст. 1</w:t>
      </w:r>
      <w:r>
        <w:rPr>
          <w:rFonts w:ascii="Times New Roman" w:eastAsia="Times New Roman" w:hAnsi="Times New Roman" w:cs="Times New Roman"/>
          <w:sz w:val="28"/>
          <w:szCs w:val="28"/>
        </w:rPr>
        <w:t>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ст.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9.9, 29.10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30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сумме </w:t>
      </w:r>
      <w:r>
        <w:rPr>
          <w:rStyle w:val="cat-Sumgrp-36rplc-8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>
        <w:rPr>
          <w:rStyle w:val="cat-Addressgrp-10rplc-8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УФК по </w:t>
      </w:r>
      <w:r>
        <w:rPr>
          <w:rStyle w:val="cat-Addressgrp-1rplc-8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44rplc-8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45rplc-8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банк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по </w:t>
      </w:r>
      <w:r>
        <w:rPr>
          <w:rStyle w:val="cat-Addressgrp-1rplc-8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11rplc-8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46rplc-8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645370000035, казначейский счет 03100643000000017500, КБК </w:t>
      </w:r>
      <w:r>
        <w:rPr>
          <w:rStyle w:val="cat-PhoneNumbergrp-47rplc-9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48rplc-9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49rplc-9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50rplc-9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суда 0410760300655002572319120.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предоставить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9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2rplc-9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5rplc-9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9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9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3rplc-9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4rplc-10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FIOgrp-31rplc-10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41rplc-0">
    <w:name w:val="cat-PhoneNumber grp-41 rplc-0"/>
    <w:basedOn w:val="DefaultParagraphFont"/>
  </w:style>
  <w:style w:type="character" w:customStyle="1" w:styleId="cat-PhoneNumbergrp-42rplc-1">
    <w:name w:val="cat-PhoneNumber grp-42 rplc-1"/>
    <w:basedOn w:val="DefaultParagraphFont"/>
  </w:style>
  <w:style w:type="character" w:customStyle="1" w:styleId="cat-Dategrp-15rplc-2">
    <w:name w:val="cat-Date grp-1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8rplc-5">
    <w:name w:val="cat-FIO grp-28 rplc-5"/>
    <w:basedOn w:val="DefaultParagraphFont"/>
  </w:style>
  <w:style w:type="character" w:customStyle="1" w:styleId="cat-FIOgrp-29rplc-6">
    <w:name w:val="cat-FIO grp-29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30rplc-9">
    <w:name w:val="cat-FIO grp-30 rplc-9"/>
    <w:basedOn w:val="DefaultParagraphFont"/>
  </w:style>
  <w:style w:type="character" w:customStyle="1" w:styleId="cat-PassportDatagrp-37rplc-10">
    <w:name w:val="cat-PassportData grp-37 rplc-10"/>
    <w:basedOn w:val="DefaultParagraphFont"/>
  </w:style>
  <w:style w:type="character" w:customStyle="1" w:styleId="cat-PassportDatagrp-38rplc-11">
    <w:name w:val="cat-PassportData grp-38 rplc-11"/>
    <w:basedOn w:val="DefaultParagraphFont"/>
  </w:style>
  <w:style w:type="character" w:customStyle="1" w:styleId="cat-OrganizationNamegrp-39rplc-12">
    <w:name w:val="cat-OrganizationName grp-39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29rplc-15">
    <w:name w:val="cat-FIO grp-29 rplc-15"/>
    <w:basedOn w:val="DefaultParagraphFont"/>
  </w:style>
  <w:style w:type="character" w:customStyle="1" w:styleId="cat-Dategrp-16rplc-16">
    <w:name w:val="cat-Date grp-16 rplc-16"/>
    <w:basedOn w:val="DefaultParagraphFont"/>
  </w:style>
  <w:style w:type="character" w:customStyle="1" w:styleId="cat-Timegrp-40rplc-17">
    <w:name w:val="cat-Time grp-40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Dategrp-17rplc-19">
    <w:name w:val="cat-Date grp-17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PhoneNumbergrp-43rplc-22">
    <w:name w:val="cat-PhoneNumber grp-43 rplc-22"/>
    <w:basedOn w:val="DefaultParagraphFont"/>
  </w:style>
  <w:style w:type="character" w:customStyle="1" w:styleId="cat-Dategrp-18rplc-23">
    <w:name w:val="cat-Date grp-18 rplc-23"/>
    <w:basedOn w:val="DefaultParagraphFont"/>
  </w:style>
  <w:style w:type="character" w:customStyle="1" w:styleId="cat-Addressgrp-2rplc-24">
    <w:name w:val="cat-Address grp-2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Addressgrp-8rplc-27">
    <w:name w:val="cat-Address grp-8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9rplc-29">
    <w:name w:val="cat-Address grp-9 rplc-29"/>
    <w:basedOn w:val="DefaultParagraphFont"/>
  </w:style>
  <w:style w:type="character" w:customStyle="1" w:styleId="cat-FIOgrp-29rplc-30">
    <w:name w:val="cat-FIO grp-29 rplc-30"/>
    <w:basedOn w:val="DefaultParagraphFont"/>
  </w:style>
  <w:style w:type="character" w:customStyle="1" w:styleId="cat-FIOgrp-29rplc-31">
    <w:name w:val="cat-FIO grp-29 rplc-31"/>
    <w:basedOn w:val="DefaultParagraphFont"/>
  </w:style>
  <w:style w:type="character" w:customStyle="1" w:styleId="cat-Dategrp-19rplc-32">
    <w:name w:val="cat-Date grp-19 rplc-32"/>
    <w:basedOn w:val="DefaultParagraphFont"/>
  </w:style>
  <w:style w:type="character" w:customStyle="1" w:styleId="cat-FIOgrp-29rplc-33">
    <w:name w:val="cat-FIO grp-29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Timegrp-40rplc-35">
    <w:name w:val="cat-Time grp-40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Dategrp-17rplc-37">
    <w:name w:val="cat-Date grp-17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PhoneNumbergrp-43rplc-40">
    <w:name w:val="cat-PhoneNumber grp-43 rplc-40"/>
    <w:basedOn w:val="DefaultParagraphFont"/>
  </w:style>
  <w:style w:type="character" w:customStyle="1" w:styleId="cat-Dategrp-18rplc-41">
    <w:name w:val="cat-Date grp-18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Addressgrp-2rplc-46">
    <w:name w:val="cat-Address grp-2 rplc-46"/>
    <w:basedOn w:val="DefaultParagraphFont"/>
  </w:style>
  <w:style w:type="character" w:customStyle="1" w:styleId="cat-Addressgrp-9rplc-47">
    <w:name w:val="cat-Address grp-9 rplc-47"/>
    <w:basedOn w:val="DefaultParagraphFont"/>
  </w:style>
  <w:style w:type="character" w:customStyle="1" w:styleId="cat-Dategrp-17rplc-48">
    <w:name w:val="cat-Date grp-17 rplc-48"/>
    <w:basedOn w:val="DefaultParagraphFont"/>
  </w:style>
  <w:style w:type="character" w:customStyle="1" w:styleId="cat-FIOgrp-29rplc-49">
    <w:name w:val="cat-FIO grp-29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Dategrp-20rplc-51">
    <w:name w:val="cat-Date grp-20 rplc-51"/>
    <w:basedOn w:val="DefaultParagraphFont"/>
  </w:style>
  <w:style w:type="character" w:customStyle="1" w:styleId="cat-Dategrp-21rplc-52">
    <w:name w:val="cat-Date grp-21 rplc-52"/>
    <w:basedOn w:val="DefaultParagraphFont"/>
  </w:style>
  <w:style w:type="character" w:customStyle="1" w:styleId="cat-Dategrp-22rplc-53">
    <w:name w:val="cat-Date grp-22 rplc-53"/>
    <w:basedOn w:val="DefaultParagraphFont"/>
  </w:style>
  <w:style w:type="character" w:customStyle="1" w:styleId="cat-Dategrp-23rplc-54">
    <w:name w:val="cat-Date grp-23 rplc-54"/>
    <w:basedOn w:val="DefaultParagraphFont"/>
  </w:style>
  <w:style w:type="character" w:customStyle="1" w:styleId="cat-FIOgrp-29rplc-55">
    <w:name w:val="cat-FIO grp-29 rplc-55"/>
    <w:basedOn w:val="DefaultParagraphFont"/>
  </w:style>
  <w:style w:type="character" w:customStyle="1" w:styleId="cat-Dategrp-24rplc-56">
    <w:name w:val="cat-Date grp-24 rplc-56"/>
    <w:basedOn w:val="DefaultParagraphFont"/>
  </w:style>
  <w:style w:type="character" w:customStyle="1" w:styleId="cat-Addressgrp-5rplc-57">
    <w:name w:val="cat-Address grp-5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Dategrp-25rplc-59">
    <w:name w:val="cat-Date grp-25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FIOgrp-29rplc-62">
    <w:name w:val="cat-FIO grp-29 rplc-62"/>
    <w:basedOn w:val="DefaultParagraphFont"/>
  </w:style>
  <w:style w:type="character" w:customStyle="1" w:styleId="cat-FIOgrp-29rplc-63">
    <w:name w:val="cat-FIO grp-29 rplc-63"/>
    <w:basedOn w:val="DefaultParagraphFont"/>
  </w:style>
  <w:style w:type="character" w:customStyle="1" w:styleId="cat-SumInWordsgrp-32rplc-64">
    <w:name w:val="cat-SumInWords grp-32 rplc-64"/>
    <w:basedOn w:val="DefaultParagraphFont"/>
  </w:style>
  <w:style w:type="character" w:customStyle="1" w:styleId="cat-SumInWordsgrp-33rplc-65">
    <w:name w:val="cat-SumInWords grp-33 rplc-65"/>
    <w:basedOn w:val="DefaultParagraphFont"/>
  </w:style>
  <w:style w:type="character" w:customStyle="1" w:styleId="cat-SumInWordsgrp-34rplc-66">
    <w:name w:val="cat-SumInWords grp-34 rplc-66"/>
    <w:basedOn w:val="DefaultParagraphFont"/>
  </w:style>
  <w:style w:type="character" w:customStyle="1" w:styleId="cat-Dategrp-26rplc-67">
    <w:name w:val="cat-Date grp-26 rplc-67"/>
    <w:basedOn w:val="DefaultParagraphFont"/>
  </w:style>
  <w:style w:type="character" w:customStyle="1" w:styleId="cat-Dategrp-27rplc-68">
    <w:name w:val="cat-Date grp-27 rplc-68"/>
    <w:basedOn w:val="DefaultParagraphFont"/>
  </w:style>
  <w:style w:type="character" w:customStyle="1" w:styleId="cat-FIOgrp-29rplc-69">
    <w:name w:val="cat-FIO grp-29 rplc-69"/>
    <w:basedOn w:val="DefaultParagraphFont"/>
  </w:style>
  <w:style w:type="character" w:customStyle="1" w:styleId="cat-Dategrp-25rplc-70">
    <w:name w:val="cat-Date grp-25 rplc-70"/>
    <w:basedOn w:val="DefaultParagraphFont"/>
  </w:style>
  <w:style w:type="character" w:customStyle="1" w:styleId="cat-Dategrp-22rplc-71">
    <w:name w:val="cat-Date grp-22 rplc-71"/>
    <w:basedOn w:val="DefaultParagraphFont"/>
  </w:style>
  <w:style w:type="character" w:customStyle="1" w:styleId="cat-FIOgrp-29rplc-72">
    <w:name w:val="cat-FIO grp-29 rplc-72"/>
    <w:basedOn w:val="DefaultParagraphFont"/>
  </w:style>
  <w:style w:type="character" w:customStyle="1" w:styleId="cat-Addressgrp-2rplc-73">
    <w:name w:val="cat-Address grp-2 rplc-73"/>
    <w:basedOn w:val="DefaultParagraphFont"/>
  </w:style>
  <w:style w:type="character" w:customStyle="1" w:styleId="cat-Dategrp-22rplc-74">
    <w:name w:val="cat-Date grp-22 rplc-74"/>
    <w:basedOn w:val="DefaultParagraphFont"/>
  </w:style>
  <w:style w:type="character" w:customStyle="1" w:styleId="cat-FIOgrp-29rplc-75">
    <w:name w:val="cat-FIO grp-29 rplc-75"/>
    <w:basedOn w:val="DefaultParagraphFont"/>
  </w:style>
  <w:style w:type="character" w:customStyle="1" w:styleId="cat-Dategrp-17rplc-76">
    <w:name w:val="cat-Date grp-17 rplc-76"/>
    <w:basedOn w:val="DefaultParagraphFont"/>
  </w:style>
  <w:style w:type="character" w:customStyle="1" w:styleId="cat-FIOgrp-29rplc-77">
    <w:name w:val="cat-FIO grp-29 rplc-77"/>
    <w:basedOn w:val="DefaultParagraphFont"/>
  </w:style>
  <w:style w:type="character" w:customStyle="1" w:styleId="cat-FIOgrp-29rplc-78">
    <w:name w:val="cat-FIO grp-29 rplc-78"/>
    <w:basedOn w:val="DefaultParagraphFont"/>
  </w:style>
  <w:style w:type="character" w:customStyle="1" w:styleId="cat-FIOgrp-29rplc-79">
    <w:name w:val="cat-FIO grp-29 rplc-79"/>
    <w:basedOn w:val="DefaultParagraphFont"/>
  </w:style>
  <w:style w:type="character" w:customStyle="1" w:styleId="cat-FIOgrp-30rplc-80">
    <w:name w:val="cat-FIO grp-30 rplc-80"/>
    <w:basedOn w:val="DefaultParagraphFont"/>
  </w:style>
  <w:style w:type="character" w:customStyle="1" w:styleId="cat-Sumgrp-36rplc-81">
    <w:name w:val="cat-Sum grp-36 rplc-81"/>
    <w:basedOn w:val="DefaultParagraphFont"/>
  </w:style>
  <w:style w:type="character" w:customStyle="1" w:styleId="cat-Addressgrp-10rplc-82">
    <w:name w:val="cat-Address grp-10 rplc-82"/>
    <w:basedOn w:val="DefaultParagraphFont"/>
  </w:style>
  <w:style w:type="character" w:customStyle="1" w:styleId="cat-Addressgrp-1rplc-83">
    <w:name w:val="cat-Address grp-1 rplc-83"/>
    <w:basedOn w:val="DefaultParagraphFont"/>
  </w:style>
  <w:style w:type="character" w:customStyle="1" w:styleId="cat-Addressgrp-1rplc-84">
    <w:name w:val="cat-Address grp-1 rplc-84"/>
    <w:basedOn w:val="DefaultParagraphFont"/>
  </w:style>
  <w:style w:type="character" w:customStyle="1" w:styleId="cat-PhoneNumbergrp-44rplc-85">
    <w:name w:val="cat-PhoneNumber grp-44 rplc-85"/>
    <w:basedOn w:val="DefaultParagraphFont"/>
  </w:style>
  <w:style w:type="character" w:customStyle="1" w:styleId="cat-PhoneNumbergrp-45rplc-86">
    <w:name w:val="cat-PhoneNumber grp-45 rplc-86"/>
    <w:basedOn w:val="DefaultParagraphFont"/>
  </w:style>
  <w:style w:type="character" w:customStyle="1" w:styleId="cat-Addressgrp-1rplc-87">
    <w:name w:val="cat-Address grp-1 rplc-87"/>
    <w:basedOn w:val="DefaultParagraphFont"/>
  </w:style>
  <w:style w:type="character" w:customStyle="1" w:styleId="cat-Addressgrp-11rplc-88">
    <w:name w:val="cat-Address grp-11 rplc-88"/>
    <w:basedOn w:val="DefaultParagraphFont"/>
  </w:style>
  <w:style w:type="character" w:customStyle="1" w:styleId="cat-PhoneNumbergrp-46rplc-89">
    <w:name w:val="cat-PhoneNumber grp-46 rplc-89"/>
    <w:basedOn w:val="DefaultParagraphFont"/>
  </w:style>
  <w:style w:type="character" w:customStyle="1" w:styleId="cat-PhoneNumbergrp-47rplc-90">
    <w:name w:val="cat-PhoneNumber grp-47 rplc-90"/>
    <w:basedOn w:val="DefaultParagraphFont"/>
  </w:style>
  <w:style w:type="character" w:customStyle="1" w:styleId="cat-PhoneNumbergrp-48rplc-91">
    <w:name w:val="cat-PhoneNumber grp-48 rplc-91"/>
    <w:basedOn w:val="DefaultParagraphFont"/>
  </w:style>
  <w:style w:type="character" w:customStyle="1" w:styleId="cat-PhoneNumbergrp-49rplc-92">
    <w:name w:val="cat-PhoneNumber grp-49 rplc-92"/>
    <w:basedOn w:val="DefaultParagraphFont"/>
  </w:style>
  <w:style w:type="character" w:customStyle="1" w:styleId="cat-PhoneNumbergrp-50rplc-93">
    <w:name w:val="cat-PhoneNumber grp-50 rplc-93"/>
    <w:basedOn w:val="DefaultParagraphFont"/>
  </w:style>
  <w:style w:type="character" w:customStyle="1" w:styleId="cat-Addressgrp-1rplc-94">
    <w:name w:val="cat-Address grp-1 rplc-94"/>
    <w:basedOn w:val="DefaultParagraphFont"/>
  </w:style>
  <w:style w:type="character" w:customStyle="1" w:styleId="cat-Addressgrp-12rplc-95">
    <w:name w:val="cat-Address grp-12 rplc-95"/>
    <w:basedOn w:val="DefaultParagraphFont"/>
  </w:style>
  <w:style w:type="character" w:customStyle="1" w:styleId="cat-SumInWordsgrp-35rplc-96">
    <w:name w:val="cat-SumInWords grp-35 rplc-96"/>
    <w:basedOn w:val="DefaultParagraphFont"/>
  </w:style>
  <w:style w:type="character" w:customStyle="1" w:styleId="cat-Addressgrp-1rplc-97">
    <w:name w:val="cat-Address grp-1 rplc-97"/>
    <w:basedOn w:val="DefaultParagraphFont"/>
  </w:style>
  <w:style w:type="character" w:customStyle="1" w:styleId="cat-Addressgrp-1rplc-98">
    <w:name w:val="cat-Address grp-1 rplc-98"/>
    <w:basedOn w:val="DefaultParagraphFont"/>
  </w:style>
  <w:style w:type="character" w:customStyle="1" w:styleId="cat-Addressgrp-13rplc-99">
    <w:name w:val="cat-Address grp-13 rplc-99"/>
    <w:basedOn w:val="DefaultParagraphFont"/>
  </w:style>
  <w:style w:type="character" w:customStyle="1" w:styleId="cat-Addressgrp-14rplc-100">
    <w:name w:val="cat-Address grp-14 rplc-100"/>
    <w:basedOn w:val="DefaultParagraphFont"/>
  </w:style>
  <w:style w:type="character" w:customStyle="1" w:styleId="cat-FIOgrp-31rplc-101">
    <w:name w:val="cat-FIO grp-31 rplc-10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F06F49C0F30072B4A81E7110370FD440300389964A77FCA22AD8170A0EC3B52578BBCCBB6nFh3L" TargetMode="External" /><Relationship Id="rId5" Type="http://schemas.openxmlformats.org/officeDocument/2006/relationships/hyperlink" Target="consultantplus://offline/ref=737392E48CD5EBD4CA453875B138ABCE78A0277A5AF0EE25078A010CF24E03F71AED8823D044BDC1OBmFL" TargetMode="External" /><Relationship Id="rId6" Type="http://schemas.openxmlformats.org/officeDocument/2006/relationships/hyperlink" Target="https://rospravosudie.com/law/%D0%A1%D1%82%D0%B0%D1%82%D1%8C%D1%8F_26.2_%D0%9A%D0%BE%D0%90%D0%9F_%D0%A0%D0%A4" TargetMode="External" /><Relationship Id="rId7" Type="http://schemas.openxmlformats.org/officeDocument/2006/relationships/hyperlink" Target="https://rospravosudie.com/law/%D0%A1%D1%82%D0%B0%D1%82%D1%8C%D1%8F_1.6_%D0%9A%D0%BE%D0%90%D0%9F_%D0%A0%D0%A4" TargetMode="External" /><Relationship Id="rId8" Type="http://schemas.openxmlformats.org/officeDocument/2006/relationships/hyperlink" Target="https://rospravosudie.com/law/%D0%A1%D1%82%D0%B0%D1%82%D1%8C%D1%8F_2.1_%D0%9A%D0%BE%D0%90%D0%9F_%D0%A0%D0%A4" TargetMode="External" /><Relationship Id="rId9" Type="http://schemas.openxmlformats.org/officeDocument/2006/relationships/hyperlink" Target="https://rospravosudie.com/law/%D0%A1%D1%82%D0%B0%D1%82%D1%8C%D1%8F_24.1_%D0%9A%D0%BE%D0%90%D0%9F_%D0%A0%D0%A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