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267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2023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</w:t>
      </w:r>
      <w:r>
        <w:rPr>
          <w:b w:val="0"/>
          <w:bCs w:val="0"/>
          <w:i w:val="0"/>
          <w:sz w:val="28"/>
          <w:szCs w:val="28"/>
        </w:rPr>
        <w:t xml:space="preserve">УИД </w:t>
      </w:r>
      <w:r>
        <w:rPr>
          <w:b w:val="0"/>
          <w:bCs w:val="0"/>
          <w:i w:val="0"/>
          <w:sz w:val="28"/>
          <w:szCs w:val="28"/>
        </w:rPr>
        <w:t>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42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43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каб.1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привлекаемого к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иректора </w:t>
      </w:r>
      <w:r>
        <w:rPr>
          <w:rStyle w:val="cat-OrganizationNamegrp-3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надзорной деятельности ГУ МЧС России по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надзорной деятельности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PassportDatagrp-3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PassportDatagrp-3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директором </w:t>
      </w:r>
      <w:r>
        <w:rPr>
          <w:rStyle w:val="cat-OrganizationNamegrp-4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влечении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73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41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совершило правонарушение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дресу: </w:t>
      </w:r>
      <w:r>
        <w:rPr>
          <w:rStyle w:val="cat-Addressgrp-8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срок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>
        <w:rPr>
          <w:rFonts w:ascii="Times New Roman" w:eastAsia="Times New Roman" w:hAnsi="Times New Roman" w:cs="Times New Roman"/>
          <w:sz w:val="28"/>
          <w:szCs w:val="28"/>
        </w:rPr>
        <w:t>439/1/1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выданное отделением надзорной деятельности по Нижнегорскому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инструкции о мерах пожарной безопасности не указаны лица, ответственные за обеспечение пожарной безопасности, в том числе за: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сообщение о возникновении пожара в пожарную охрану и оповещение </w:t>
      </w:r>
      <w:r>
        <w:rPr>
          <w:rFonts w:ascii="Times New Roman" w:eastAsia="Times New Roman" w:hAnsi="Times New Roman" w:cs="Times New Roman"/>
          <w:sz w:val="28"/>
          <w:szCs w:val="28"/>
        </w:rPr>
        <w:t>(информирование) руководства, дежурных и аварийных служб объекта защиты;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) организацию спасения людей с использованием для этого имеющихся сил и технических средств;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в) проверку включения автоматических систем противопожарной защиты (систем оповещения людей о пожаре, пожаротушения,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противодымной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защиты);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г) отключение при необходимости электроэнергии (за исключением систем противопожарной защиты), остановку работы транспортирующих устройств, агрегатов, устройств с применением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их внешней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поверхности,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превысить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неисправности теплогенерирующего аппарата) 90 градусов Цельсия;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д) перекрывание сырьевых, газовых, паровых и водных коммуникаций, остановку работы систем вентиляции в аварийное и смежных с ним помещениях, а также выполнение других мероприятий, способствующих предотвращению развития пожара и задымления помещений здания, сооружения;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е) прекращение всех работ в здании, сооружении (если это допустимо по технологическому процессу производства), кроме работ, связанных с мероприятиями по ликвидации пожара: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ж) удаление за пределы опасной зоны всех работников, не задействованных в тушении пожара;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з) осуществление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руководства </w:t>
      </w:r>
      <w:r>
        <w:rPr>
          <w:rFonts w:ascii="Times New Roman" w:eastAsia="Times New Roman" w:hAnsi="Times New Roman" w:cs="Times New Roman"/>
          <w:sz w:val="28"/>
          <w:szCs w:val="28"/>
        </w:rPr>
        <w:t>тушением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пожара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специфических особенностей объекта защиты) до прибытия подразделения пожарной охраны;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и)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работниками,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принимающими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частие в тушении пожара;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к) организацию одновременно с тушением пожара эвакуации и защиты материальных ценностей;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л) встречу подразделений пожарной охраны и оказание помощи в выборе кратчайшего пути для подъезда к очагу пожара;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м) сообщение подразделениям пожарной охраны, привлекаемых для тушения пожаров и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защиты опасных (взрывоопасных), взрывчатых, сильнодействующих ядовитых веществах;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н)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защиты, прилегающих строений и сооружений, о количестве и пожароопасных свойствах хранимых и применяемых на объекте защиты веществ, материалов, изделий и сообщение других сведений, необходимых для успешной ликвидации пожара;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о) организацию привлечения сил и средств объекта защиты к осуществлению мероприятий, связанных с ликвидацией пожара и предупреждением его развития (п. 394 Постановления Правительс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тва РФ от </w:t>
      </w:r>
      <w:r>
        <w:rPr>
          <w:rStyle w:val="cat-Dategrp-1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1479 «Об утверждении Правил противопожарного режима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оборудовано автоматической пожарной сигнализацией (ст. 54, 83, 91 Федерального закона РФ от 22.07.08г. N 1 23-ФЗ «Технический регламент о требованиях пожарной безопасности»; таблица 1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П 486.</w:t>
      </w:r>
      <w:r>
        <w:rPr>
          <w:rStyle w:val="cat-PhoneNumbergrp-44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«Системы противопожарной защиты. Перечень зданий, сооружений, посещений и оборудования, подлежащих защите автоматическими установками </w:t>
      </w:r>
      <w:r>
        <w:rPr>
          <w:rFonts w:ascii="Times New Roman" w:eastAsia="Times New Roman" w:hAnsi="Times New Roman" w:cs="Times New Roman"/>
          <w:sz w:val="28"/>
          <w:szCs w:val="28"/>
        </w:rPr>
        <w:t>пожаротушения и системами пожарной сигнализации»);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дание не оборудовано системой оповещения и управления эвакуацией людей при пожаре (ст. 54, 84 Федерального закона от </w:t>
      </w:r>
      <w:r>
        <w:rPr>
          <w:rStyle w:val="cat-Dategrp-1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123-ФЗ «Технический регламент о тре</w:t>
      </w:r>
      <w:r>
        <w:rPr>
          <w:rFonts w:ascii="Times New Roman" w:eastAsia="Times New Roman" w:hAnsi="Times New Roman" w:cs="Times New Roman"/>
          <w:sz w:val="28"/>
          <w:szCs w:val="28"/>
        </w:rPr>
        <w:t>бованиях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раздел 7 табл. 2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3. 13130.2009 «Системы противопожарной защиты. Система оповещения и управления эвакуацией людей при пожаре.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пожарной безопасности»);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обеспечено проведение категорирования по взрывопожарной и пожарной опасности, а также определение класса зоны в соответствии с главами 5, 7 и 8 Федерального закона «Технический регламент о требованиях пожарной безопасности» помещений (пожарных отсеков) производственного и складского назначения и наружных установок с обозначением их категорий (за исключением помещений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взрывопожарной и пожарной опасности) и классов зон на входных </w:t>
      </w:r>
      <w:r>
        <w:rPr>
          <w:rFonts w:ascii="Times New Roman" w:eastAsia="Times New Roman" w:hAnsi="Times New Roman" w:cs="Times New Roman"/>
          <w:sz w:val="28"/>
          <w:szCs w:val="28"/>
        </w:rPr>
        <w:t>дверях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посещений с наружной стороны и на установках в зоне их обслуживания на видном месте (п. 12 Постановления Правительства РФ от </w:t>
      </w:r>
      <w:r>
        <w:rPr>
          <w:rStyle w:val="cat-Dategrp-1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1479 «Об утверждении Правил противопожарного режима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обеспечено соблюдение сроков перезарядки и периодичности осмотра огнетушителей с внесением в журнал эксплуатации систем противопожарной защиты (п. 60 Постановления Правительства РФ от </w:t>
      </w:r>
      <w:r>
        <w:rPr>
          <w:rStyle w:val="cat-Dategrp-1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1479 «Об утверждении Правил противопожарного режима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тсутствует аварийное освещение на путях эвакуации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П 52.13330 (п. 4.3.12 CП 1.13130 «Системы противопожарной защиты. Эвакуационные пути и выходы»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4, 6 Федерального закона от </w:t>
      </w:r>
      <w:r>
        <w:rPr>
          <w:rStyle w:val="cat-Dategrp-2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№ І2З-ФЗ «Технический регламент о требованиях пожарной безопасности»);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тсутствует документация о пределах огнестойкости строительных конструкций,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не представляется возможным определить соответствие принятой степени огнестойкости здания согласно таблице 21 ФЗ №123 (ст.57, ст.58, ст. 87, ст.78 Федерального закона от </w:t>
      </w:r>
      <w:r>
        <w:rPr>
          <w:rStyle w:val="cat-Dategrp-1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Кя12З-ФЗ «Технический регламент о требованиях пожарной безопасности»);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предоставлена декларация пожарной безопасности (ст. 64 Федерального закона от </w:t>
      </w:r>
      <w:r>
        <w:rPr>
          <w:rStyle w:val="cat-Dategrp-2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«Технический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бъект не обеспечен наружным противопожарным водоснабжением (ет.4,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ст.62 Федерального закона от </w:t>
      </w:r>
      <w:r>
        <w:rPr>
          <w:rStyle w:val="cat-Dategrp-2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123-ФЗ «Технический регламент о требованиях пожарной безопасности»; п. 5.2, таблица 2 свода правил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П 8.13130.2020 «Системы противопожарной защиты. Наружное противопожарное водоснабжение. Требования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 в полном объеме, не оспаривал фактические обстоятельства дела, в содеянном раскаивается.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2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17/2023/43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установлено, что </w:t>
      </w:r>
      <w:r>
        <w:rPr>
          <w:rStyle w:val="cat-FIOgrp-2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41rplc-4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совершило правонарушение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в установленный срок не выполнил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439/1/1 от </w:t>
      </w:r>
      <w:r>
        <w:rPr>
          <w:rStyle w:val="cat-Dategrp-18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выданное отделением надзорной деятельности по Нижнегорскому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1) в инструкции о мерах пожарной безопасности не указаны лица, ответственные за обеспечение пожарной безопасности, в том числе за: а) сообщение о возникновении пожара в пожарную охрану и оповещение (информирование) руководства, дежурных и аварийных служб объекта защиты; б) организацию спасения людей с использованием для этого имеющихся сил и технических средств;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в) проверку включения автоматических систем противопожарной защиты (систем оповещения людей о пожаре, пожаротушения,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противодымной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защиты); </w:t>
      </w:r>
      <w:r>
        <w:rPr>
          <w:rFonts w:ascii="Times New Roman" w:eastAsia="Times New Roman" w:hAnsi="Times New Roman" w:cs="Times New Roman"/>
          <w:sz w:val="28"/>
          <w:szCs w:val="28"/>
        </w:rPr>
        <w:t>г) отключение при необходимости электроэнергии (за исключением систем противопожарной защиты), остановку работы транспортирующих устройств, агрегатов, устройств с применением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их внешней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поверхности,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превысить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неисправности теплогенерирующего аппарата) 90 градусов Цельсия;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д) перекрывание сырьевых, газовых, паровых и водных коммуникаций, остановку работы систем вентиляции в аварийное и смежных с ним помещениях, а также выполнение других мероприятий, способствующих предотвращению развития пожара и задымления помещений здания, сооружения;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е) прекращение всех работ в здании, сооружении (если это допустимо по технологическому процессу производства), кроме работ, связанных с мероприятиями по ликвидации пожара: ж) удаление за пределы опасной зоны всех работников, не задействованных в тушении пожара; з) осуществление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общего руководства тушением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пожара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специфических особенностей объекта защиты) до прибытия подразделения пожарной охраны;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и) обеспечение соблюдения требований безопасности работниками,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принимающими участие в тушении пожара; к) организацию одновременно с тушением пожара эвакуации и защиты материальных ценностей; л) встречу подразделений пожарной охраны и оказание помощи в выборе кратчайшего пути для подъезда к очагу пожара; м) сообщение подразделениям пожарной охраны, привлекаемых для тушения пожаров и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защиты опасных (взрывоопасных), взрывчатых, сильнодействующих ядовитых веществах; н) по прибытии подразделения пожарной охраны информирование руководителя тушения пожара о конструктивных и технологических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особенностях объекта защиты, прилегающих строений и сооружений, о количестве и пожароопасных свойствах хранимых и применяемых на объекте защиты веществ, материалов, изделий и сообщение других сведений, необходимых для успешной ликвидации пожара; о) организацию привлечения сил и средств объекта защиты к осуществлению мероприятий, связанных с ликвидацией пожара и предупреждением его развития (п. 394 Постановления Правительства РФ от </w:t>
      </w:r>
      <w:r>
        <w:rPr>
          <w:rStyle w:val="cat-Dategrp-17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1479 «Об утверждении Правил противопожарного режима в Российской Федерации»); 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здание не оборудовано автоматической пожарной сигнализацией (ст. 54, 83, 91 Федерального закона РФ от 22.07.08г. N 1 23-ФЗ «Технический регламент о требованиях пожарной безопасности»; таблица 1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П 486.</w:t>
      </w:r>
      <w:r>
        <w:rPr>
          <w:rStyle w:val="cat-PhoneNumbergrp-44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«Системы противопожарной защиты. Перечень зданий, сооружений, посещений и оборудования, подлежащих защите автоматическими установками пожаротушения и системами пожарной сигнализации»); 3) здание не оборудовано системой оповещения и управления эвакуацией людей при пожаре (ст. 54, 84 Федерального закона от </w:t>
      </w:r>
      <w:r>
        <w:rPr>
          <w:rStyle w:val="cat-Dategrp-19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123-ФЗ «Технический регламент о требованиях пожарной безопасности»; раздел 7 табл. 2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3. 13130.2009 «Системы противопожарной защиты. Система оповещения и управления эвакуацией людей при пожаре.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пожарной безопасности»);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 обеспечено проведение категорирования по взрывопожарной и пожарной опасности, а также определение класса зоны в соответствии с главами 5, 7 и 8 Федерального закона «Технический регламент о требованиях пожарной безопасности» помещений (пожарных отсеков) производственного и складского назначения и наружных установок с обозначением их категорий (за исключением помещений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взрывопожарной и пожарной опасности) и классов зон на входных </w:t>
      </w:r>
      <w:r>
        <w:rPr>
          <w:rFonts w:ascii="Times New Roman" w:eastAsia="Times New Roman" w:hAnsi="Times New Roman" w:cs="Times New Roman"/>
          <w:sz w:val="28"/>
          <w:szCs w:val="28"/>
        </w:rPr>
        <w:t>дверях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посещений с наружной стороны и на установках в зоне их обслуживания на видном месте (п. 12 Постановления Правительства РФ от </w:t>
      </w:r>
      <w:r>
        <w:rPr>
          <w:rStyle w:val="cat-Dategrp-17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1479 «Об утверждении Правил противопожарного режима в Российской Федерации»); 5) не обеспечено соблюдение сроков перезарядки и периодичности осмотра огнетушителей с внесением в журнал эксплуатации систем противопожарной защиты (п. 60 Постановления Правительства РФ от </w:t>
      </w:r>
      <w:r>
        <w:rPr>
          <w:rStyle w:val="cat-Dategrp-17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1479 «Об утверждении Правил противопожарного режима в Российской Федерации»);6)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аварийное освещение на путях эвакуации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П 52.13330 (п. 4.3.12 CП 1.13130 «Системы противопожарной защиты. Эвакуационные пути и выходы»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4, 6 Федерального закона от </w:t>
      </w:r>
      <w:r>
        <w:rPr>
          <w:rStyle w:val="cat-Dategrp-20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№ І2З-ФЗ «Технический регламент о требованиях пожарной безопасности»); 7)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 документация о пределах огнестойкости строительных конструкций,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представляется возможным определить соответствие принятой степени огнестойкости здания согласно таблице 21 ФЗ №123 (ст.57, ст.58, ст. 87, ст.78 Федерального закона от </w:t>
      </w:r>
      <w:r>
        <w:rPr>
          <w:rStyle w:val="cat-Dategrp-19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Кя12З-ФЗ «Технический регламент о требованиях пожарной безопасности»); 8)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предоставлена декларация пожарной безопасности (ст. 64 Федерального закона от </w:t>
      </w:r>
      <w:r>
        <w:rPr>
          <w:rStyle w:val="cat-Dategrp-20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«Технический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безопасности»); 9)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 не обеспечен наружным противопожарным водоснабжением (ет.4,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ст.62 Федерального закона от </w:t>
      </w:r>
      <w:r>
        <w:rPr>
          <w:rStyle w:val="cat-Dategrp-20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123-ФЗ «Технический регламент о требованиях пожарной безопасности»; п. 5.2, таблица 2 свода правил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П 8.13130.2020 «Системы противопожарной защиты. Наружное противопожарное водоснабжение. Требования пожарной безопасности».</w:t>
      </w:r>
    </w:p>
    <w:p>
      <w:pPr>
        <w:widowControl w:val="0"/>
        <w:tabs>
          <w:tab w:val="left" w:pos="73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439/1/1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</w:t>
      </w:r>
      <w:r>
        <w:rPr>
          <w:rStyle w:val="cat-Dategrp-18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пожарной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опасности </w:t>
      </w:r>
      <w:r>
        <w:rPr>
          <w:rStyle w:val="cat-FIOgrp-28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срок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, с учетом продления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22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ыполнено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 у</w:t>
      </w:r>
      <w:r>
        <w:rPr>
          <w:rFonts w:ascii="Times New Roman" w:eastAsia="Times New Roman" w:hAnsi="Times New Roman" w:cs="Times New Roman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составлено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подписью в указанном 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предписания, выданного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ОНД по Нижнегорскому </w:t>
      </w:r>
      <w:r>
        <w:rPr>
          <w:rStyle w:val="cat-Addressgrp-7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России по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пункты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3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распоряжения начальника отделения надзорной деятельности по </w:t>
      </w:r>
      <w:r>
        <w:rPr>
          <w:rStyle w:val="cat-Addressgrp-2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надзорной деятельности и профилактической работы ГУ МЧС России по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не устранены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 делу являются допустимыми последовательными и не противоречивыми.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1.2 Кодекса Российской Федерации об административных правонарушения, установлено, что з</w:t>
      </w:r>
      <w:r>
        <w:rPr>
          <w:rFonts w:ascii="Times New Roman" w:eastAsia="Times New Roman" w:hAnsi="Times New Roman" w:cs="Times New Roman"/>
          <w:sz w:val="28"/>
          <w:szCs w:val="28"/>
        </w:rPr>
        <w:t>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административных правонарушений, а также предупреждение административных правонарушений.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влечет наложение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на граждан в размере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тысячи пятисот до </w:t>
      </w:r>
      <w:r>
        <w:rPr>
          <w:rStyle w:val="cat-SumInWordsgrp-32rplc-6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на должностных лиц - от 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до </w:t>
      </w:r>
      <w:r>
        <w:rPr>
          <w:rStyle w:val="cat-SumInWordsgrp-33rplc-6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юридических лиц - от </w:t>
      </w:r>
      <w:r>
        <w:rPr>
          <w:rFonts w:ascii="Times New Roman" w:eastAsia="Times New Roman" w:hAnsi="Times New Roman" w:cs="Times New Roman"/>
          <w:sz w:val="28"/>
          <w:szCs w:val="28"/>
        </w:rPr>
        <w:t>семидесяти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до </w:t>
      </w:r>
      <w:r>
        <w:rPr>
          <w:rStyle w:val="cat-SumInWordsgrp-34rplc-6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24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69 "О пожарной безопасности", ответственность за нарушение требований пожарной безопасности в соответствии с действующим законодательством несут собственники имущества, руководители федеральных органов исполнительной власти и местного самоуправления, лица, уполномоченные владеть, пользоваться или распоряжаться имуществом, в том числе руководители организаций, а также должностные лица в пределах их компетенции и лица,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установленном порядке назначенные ответственными за обеспечение пожарной безопасности.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Законные предписания (постановления, представления) органов (должностных лиц), осуществляющих государственный надзор (контроль), обусловлены содержанием их полномочий, определенных законодательством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п. 3 ст. 9 Федерального закона от </w:t>
      </w:r>
      <w:r>
        <w:rPr>
          <w:rStyle w:val="cat-Dategrp-25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134-ФЗ "О защите прав юридических лиц и индивидуальных предпринимателей при проведении государственного контроля (надзора)"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17 указанного Федерального закона должностные лица, индивидуальные предприниматели, их работники и их представители, исполняющие в установленный срок предписания, постановления органов государственного контроля (надзора) об устранении выявленных нарушений, несут административную ответственность, установленную ч. 1 комментируемой статьи (см. последний абзац п. 4 комментария к ст. 9.2, а также п. 13 комментария к ст. 19.4).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26.2 КоАП РФ предусмотрено,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26.11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удья, члены коллегиального органа, должностное лицо, осуществляющие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Style w:val="cat-FIOgrp-28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39rplc-7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исполнения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439/1/1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правомерно проведена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распоряжением о проведении внеплановой проверки от </w:t>
      </w:r>
      <w:r>
        <w:rPr>
          <w:rStyle w:val="cat-Dategrp-23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указанным предписанием установлен срок его исполнения до </w:t>
      </w:r>
      <w:r>
        <w:rPr>
          <w:rStyle w:val="cat-Dategrp-22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данный срок достаточным для устранения нарушений указанных в предписании.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Статьи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предусматривает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 не имеется оснований не доверять доказательствам, собранным по делу, все доказательства суд в силу ч.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26.2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допустимыми.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безусловной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предоставлено того доказательства,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приняты все меры по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выполнению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обратного, </w:t>
      </w:r>
      <w:r>
        <w:rPr>
          <w:rFonts w:ascii="Times New Roman" w:eastAsia="Times New Roman" w:hAnsi="Times New Roman" w:cs="Times New Roman"/>
          <w:sz w:val="28"/>
          <w:szCs w:val="28"/>
        </w:rPr>
        <w:t>данные документы не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1.6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 не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2.1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признания предписания законным требуется, чтобы оно было выдано уполномоченным должностным лицом в пределах его компетенции, содержало характеристику допущенных нарушений и требование об устранении нарушений законодательства, но не определяло характер необходимых действий, которые должны быть совершены для его выполнения, а также не разрешало правовые споры, подменяя собой судебные органы.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Исполнимость предписания является требованием к данному виду ненормативного акта и одним из элементов его законности,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имеющиеся в материалах дела доказательства,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признает, что </w:t>
      </w:r>
      <w:r>
        <w:rPr>
          <w:rStyle w:val="cat-FIOgrp-28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</w:t>
      </w:r>
      <w:r>
        <w:rPr>
          <w:rFonts w:ascii="Times New Roman" w:eastAsia="Times New Roman" w:hAnsi="Times New Roman" w:cs="Times New Roman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439/1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выданное МЧС России по </w:t>
      </w:r>
      <w:r>
        <w:rPr>
          <w:rStyle w:val="cat-Addressgrp-2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26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доказательств, подтверждающих принятие </w:t>
      </w:r>
      <w:r>
        <w:rPr>
          <w:rStyle w:val="cat-FIOgrp-28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зависящих от него, достаточных и своевременных мер для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устранения нарушений указанных в 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8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28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объективную сторону состава административного правонарушения. Чрезвычайных и непредотвратимых обстоятельств, исключающих возможность соблюдения действующих нор и правил,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законами и иными нормативными правовыми актами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государственные органы (должностные лица) вправе осуществлять надзорные (контрольные) функции в отношении граждан, должностных лиц органов исполнительной власти и органов местного самоуправления, индивидуальных предпринимателей и организаций, осуществляющих коммерческую и некоммерческую деятельность. При этом указанные органы и должностные лица могут выносить обязательные для исполнения предписания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условиями и субъектами, о расторжении или изменении договоров и т.д.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раждане, должностные лица, юридические лица и индивидуальные предприниматели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правонарушений, предусмотренных данной статьей, состоит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читывая вышеизложенные доказательства в их совок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упности, суд приходит к выводу, что действия </w:t>
      </w:r>
      <w:r>
        <w:rPr>
          <w:rStyle w:val="cat-FIOgrp-28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вышеизложенные доказательства в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сово</w:t>
      </w:r>
      <w:r>
        <w:rPr>
          <w:rFonts w:ascii="Times New Roman" w:eastAsia="Times New Roman" w:hAnsi="Times New Roman" w:cs="Times New Roman"/>
          <w:sz w:val="28"/>
          <w:szCs w:val="28"/>
        </w:rPr>
        <w:t>купности, суд приходит к выводу, что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оказательства по делу являются допустимыми последовательными и не противоречивыми.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имущественное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финансовое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те обстоятельства, что </w:t>
      </w:r>
      <w:r>
        <w:rPr>
          <w:rStyle w:val="cat-FIOgrp-28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предпринимал меры для устранения указанных в предписании 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не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поэтому мировой судья приходит к выводу о том, что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ненадлежащим образом выполнило свои обязанности, не приняв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>зависящие от 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достаточные и своевременные меры, </w:t>
      </w:r>
      <w:r>
        <w:rPr>
          <w:rFonts w:ascii="Times New Roman" w:eastAsia="Times New Roman" w:hAnsi="Times New Roman" w:cs="Times New Roman"/>
          <w:sz w:val="28"/>
          <w:szCs w:val="28"/>
        </w:rPr>
        <w:t>обязано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санкции ст.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30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сумме </w:t>
      </w:r>
      <w:r>
        <w:rPr>
          <w:rStyle w:val="cat-Sumgrp-36rplc-8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10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45rplc-8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46rplc-8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11rplc-9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47rplc-9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645370000035, казначейский счет 03100643000000017500, КБК </w:t>
      </w:r>
      <w:r>
        <w:rPr>
          <w:rStyle w:val="cat-PhoneNumbergrp-48rplc-9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49rplc-9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50rplc-9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51rplc-9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суда </w:t>
      </w:r>
      <w:r>
        <w:rPr>
          <w:rFonts w:ascii="Times New Roman" w:eastAsia="Times New Roman" w:hAnsi="Times New Roman" w:cs="Times New Roman"/>
          <w:sz w:val="28"/>
          <w:szCs w:val="28"/>
        </w:rPr>
        <w:t>0410760300655002672319112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2rplc-9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5rplc-9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3rplc-1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4rplc-10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31rplc-10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  <w:p>
    <w:pPr>
      <w:spacing w:before="0" w:after="0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42rplc-0">
    <w:name w:val="cat-PhoneNumber grp-42 rplc-0"/>
    <w:basedOn w:val="DefaultParagraphFont"/>
  </w:style>
  <w:style w:type="character" w:customStyle="1" w:styleId="cat-PhoneNumbergrp-43rplc-1">
    <w:name w:val="cat-PhoneNumber grp-43 rplc-1"/>
    <w:basedOn w:val="DefaultParagraphFont"/>
  </w:style>
  <w:style w:type="character" w:customStyle="1" w:styleId="cat-Dategrp-15rplc-2">
    <w:name w:val="cat-Date grp-1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7rplc-5">
    <w:name w:val="cat-FIO grp-27 rplc-5"/>
    <w:basedOn w:val="DefaultParagraphFont"/>
  </w:style>
  <w:style w:type="character" w:customStyle="1" w:styleId="cat-OrganizationNamegrp-39rplc-6">
    <w:name w:val="cat-OrganizationName grp-39 rplc-6"/>
    <w:basedOn w:val="DefaultParagraphFont"/>
  </w:style>
  <w:style w:type="character" w:customStyle="1" w:styleId="cat-FIOgrp-28rplc-7">
    <w:name w:val="cat-FIO grp-28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29rplc-10">
    <w:name w:val="cat-FIO grp-29 rplc-10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ExternalSystemDefinedgrp-52rplc-12">
    <w:name w:val="cat-ExternalSystemDefined grp-52 rplc-12"/>
    <w:basedOn w:val="DefaultParagraphFont"/>
  </w:style>
  <w:style w:type="character" w:customStyle="1" w:styleId="cat-PassportDatagrp-38rplc-13">
    <w:name w:val="cat-PassportData grp-38 rplc-13"/>
    <w:basedOn w:val="DefaultParagraphFont"/>
  </w:style>
  <w:style w:type="character" w:customStyle="1" w:styleId="cat-OrganizationNamegrp-40rplc-14">
    <w:name w:val="cat-OrganizationName grp-4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28rplc-19">
    <w:name w:val="cat-FIO grp-28 rplc-19"/>
    <w:basedOn w:val="DefaultParagraphFont"/>
  </w:style>
  <w:style w:type="character" w:customStyle="1" w:styleId="cat-Dategrp-16rplc-20">
    <w:name w:val="cat-Date grp-16 rplc-20"/>
    <w:basedOn w:val="DefaultParagraphFont"/>
  </w:style>
  <w:style w:type="character" w:customStyle="1" w:styleId="cat-Timegrp-41rplc-21">
    <w:name w:val="cat-Time grp-41 rplc-21"/>
    <w:basedOn w:val="DefaultParagraphFont"/>
  </w:style>
  <w:style w:type="character" w:customStyle="1" w:styleId="cat-Addressgrp-8rplc-22">
    <w:name w:val="cat-Address grp-8 rplc-22"/>
    <w:basedOn w:val="DefaultParagraphFont"/>
  </w:style>
  <w:style w:type="character" w:customStyle="1" w:styleId="cat-Dategrp-18rplc-23">
    <w:name w:val="cat-Date grp-18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PhoneNumbergrp-44rplc-27">
    <w:name w:val="cat-PhoneNumber grp-44 rplc-27"/>
    <w:basedOn w:val="DefaultParagraphFont"/>
  </w:style>
  <w:style w:type="character" w:customStyle="1" w:styleId="cat-Dategrp-19rplc-28">
    <w:name w:val="cat-Date grp-19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Dategrp-20rplc-31">
    <w:name w:val="cat-Date grp-20 rplc-31"/>
    <w:basedOn w:val="DefaultParagraphFont"/>
  </w:style>
  <w:style w:type="character" w:customStyle="1" w:styleId="cat-Dategrp-19rplc-32">
    <w:name w:val="cat-Date grp-19 rplc-32"/>
    <w:basedOn w:val="DefaultParagraphFont"/>
  </w:style>
  <w:style w:type="character" w:customStyle="1" w:styleId="cat-Dategrp-20rplc-33">
    <w:name w:val="cat-Date grp-20 rplc-33"/>
    <w:basedOn w:val="DefaultParagraphFont"/>
  </w:style>
  <w:style w:type="character" w:customStyle="1" w:styleId="cat-Dategrp-20rplc-34">
    <w:name w:val="cat-Date grp-20 rplc-34"/>
    <w:basedOn w:val="DefaultParagraphFont"/>
  </w:style>
  <w:style w:type="character" w:customStyle="1" w:styleId="cat-FIOgrp-28rplc-35">
    <w:name w:val="cat-FIO grp-28 rplc-35"/>
    <w:basedOn w:val="DefaultParagraphFont"/>
  </w:style>
  <w:style w:type="character" w:customStyle="1" w:styleId="cat-FIOgrp-28rplc-36">
    <w:name w:val="cat-FIO grp-28 rplc-36"/>
    <w:basedOn w:val="DefaultParagraphFont"/>
  </w:style>
  <w:style w:type="character" w:customStyle="1" w:styleId="cat-Dategrp-21rplc-37">
    <w:name w:val="cat-Date grp-21 rplc-37"/>
    <w:basedOn w:val="DefaultParagraphFont"/>
  </w:style>
  <w:style w:type="character" w:customStyle="1" w:styleId="cat-FIOgrp-28rplc-38">
    <w:name w:val="cat-FIO grp-28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Timegrp-41rplc-40">
    <w:name w:val="cat-Time grp-41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Dategrp-18rplc-42">
    <w:name w:val="cat-Date grp-18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PhoneNumbergrp-44rplc-46">
    <w:name w:val="cat-PhoneNumber grp-44 rplc-46"/>
    <w:basedOn w:val="DefaultParagraphFont"/>
  </w:style>
  <w:style w:type="character" w:customStyle="1" w:styleId="cat-Dategrp-19rplc-47">
    <w:name w:val="cat-Date grp-19 rplc-47"/>
    <w:basedOn w:val="DefaultParagraphFont"/>
  </w:style>
  <w:style w:type="character" w:customStyle="1" w:styleId="cat-Dategrp-17rplc-48">
    <w:name w:val="cat-Date grp-17 rplc-48"/>
    <w:basedOn w:val="DefaultParagraphFont"/>
  </w:style>
  <w:style w:type="character" w:customStyle="1" w:styleId="cat-Dategrp-17rplc-49">
    <w:name w:val="cat-Date grp-17 rplc-49"/>
    <w:basedOn w:val="DefaultParagraphFont"/>
  </w:style>
  <w:style w:type="character" w:customStyle="1" w:styleId="cat-Dategrp-20rplc-50">
    <w:name w:val="cat-Date grp-20 rplc-50"/>
    <w:basedOn w:val="DefaultParagraphFont"/>
  </w:style>
  <w:style w:type="character" w:customStyle="1" w:styleId="cat-Dategrp-19rplc-51">
    <w:name w:val="cat-Date grp-19 rplc-51"/>
    <w:basedOn w:val="DefaultParagraphFont"/>
  </w:style>
  <w:style w:type="character" w:customStyle="1" w:styleId="cat-Dategrp-20rplc-52">
    <w:name w:val="cat-Date grp-20 rplc-52"/>
    <w:basedOn w:val="DefaultParagraphFont"/>
  </w:style>
  <w:style w:type="character" w:customStyle="1" w:styleId="cat-Dategrp-20rplc-53">
    <w:name w:val="cat-Date grp-20 rplc-53"/>
    <w:basedOn w:val="DefaultParagraphFont"/>
  </w:style>
  <w:style w:type="character" w:customStyle="1" w:styleId="cat-Dategrp-18rplc-54">
    <w:name w:val="cat-Date grp-18 rplc-54"/>
    <w:basedOn w:val="DefaultParagraphFont"/>
  </w:style>
  <w:style w:type="character" w:customStyle="1" w:styleId="cat-FIOgrp-28rplc-55">
    <w:name w:val="cat-FIO grp-28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Dategrp-22rplc-57">
    <w:name w:val="cat-Date grp-22 rplc-57"/>
    <w:basedOn w:val="DefaultParagraphFont"/>
  </w:style>
  <w:style w:type="character" w:customStyle="1" w:styleId="cat-FIOgrp-28rplc-58">
    <w:name w:val="cat-FIO grp-28 rplc-58"/>
    <w:basedOn w:val="DefaultParagraphFont"/>
  </w:style>
  <w:style w:type="character" w:customStyle="1" w:styleId="cat-Dategrp-18rplc-59">
    <w:name w:val="cat-Date grp-18 rplc-59"/>
    <w:basedOn w:val="DefaultParagraphFont"/>
  </w:style>
  <w:style w:type="character" w:customStyle="1" w:styleId="cat-Addressgrp-7rplc-60">
    <w:name w:val="cat-Address grp-7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Dategrp-23rplc-62">
    <w:name w:val="cat-Date grp-23 rplc-62"/>
    <w:basedOn w:val="DefaultParagraphFont"/>
  </w:style>
  <w:style w:type="character" w:customStyle="1" w:styleId="cat-Addressgrp-2rplc-63">
    <w:name w:val="cat-Address grp-2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FIOgrp-28rplc-65">
    <w:name w:val="cat-FIO grp-28 rplc-65"/>
    <w:basedOn w:val="DefaultParagraphFont"/>
  </w:style>
  <w:style w:type="character" w:customStyle="1" w:styleId="cat-SumInWordsgrp-32rplc-66">
    <w:name w:val="cat-SumInWords grp-32 rplc-66"/>
    <w:basedOn w:val="DefaultParagraphFont"/>
  </w:style>
  <w:style w:type="character" w:customStyle="1" w:styleId="cat-SumInWordsgrp-33rplc-67">
    <w:name w:val="cat-SumInWords grp-33 rplc-67"/>
    <w:basedOn w:val="DefaultParagraphFont"/>
  </w:style>
  <w:style w:type="character" w:customStyle="1" w:styleId="cat-SumInWordsgrp-34rplc-68">
    <w:name w:val="cat-SumInWords grp-34 rplc-68"/>
    <w:basedOn w:val="DefaultParagraphFont"/>
  </w:style>
  <w:style w:type="character" w:customStyle="1" w:styleId="cat-Dategrp-24rplc-69">
    <w:name w:val="cat-Date grp-24 rplc-69"/>
    <w:basedOn w:val="DefaultParagraphFont"/>
  </w:style>
  <w:style w:type="character" w:customStyle="1" w:styleId="cat-Dategrp-25rplc-70">
    <w:name w:val="cat-Date grp-25 rplc-70"/>
    <w:basedOn w:val="DefaultParagraphFont"/>
  </w:style>
  <w:style w:type="character" w:customStyle="1" w:styleId="cat-FIOgrp-28rplc-71">
    <w:name w:val="cat-FIO grp-28 rplc-71"/>
    <w:basedOn w:val="DefaultParagraphFont"/>
  </w:style>
  <w:style w:type="character" w:customStyle="1" w:styleId="cat-OrganizationNamegrp-39rplc-72">
    <w:name w:val="cat-OrganizationName grp-39 rplc-72"/>
    <w:basedOn w:val="DefaultParagraphFont"/>
  </w:style>
  <w:style w:type="character" w:customStyle="1" w:styleId="cat-Dategrp-23rplc-73">
    <w:name w:val="cat-Date grp-23 rplc-73"/>
    <w:basedOn w:val="DefaultParagraphFont"/>
  </w:style>
  <w:style w:type="character" w:customStyle="1" w:styleId="cat-Dategrp-22rplc-74">
    <w:name w:val="cat-Date grp-22 rplc-74"/>
    <w:basedOn w:val="DefaultParagraphFont"/>
  </w:style>
  <w:style w:type="character" w:customStyle="1" w:styleId="cat-FIOgrp-28rplc-75">
    <w:name w:val="cat-FIO grp-28 rplc-75"/>
    <w:basedOn w:val="DefaultParagraphFont"/>
  </w:style>
  <w:style w:type="character" w:customStyle="1" w:styleId="cat-Addressgrp-2rplc-76">
    <w:name w:val="cat-Address grp-2 rplc-76"/>
    <w:basedOn w:val="DefaultParagraphFont"/>
  </w:style>
  <w:style w:type="character" w:customStyle="1" w:styleId="cat-Dategrp-26rplc-77">
    <w:name w:val="cat-Date grp-26 rplc-77"/>
    <w:basedOn w:val="DefaultParagraphFont"/>
  </w:style>
  <w:style w:type="character" w:customStyle="1" w:styleId="cat-FIOgrp-28rplc-78">
    <w:name w:val="cat-FIO grp-28 rplc-78"/>
    <w:basedOn w:val="DefaultParagraphFont"/>
  </w:style>
  <w:style w:type="character" w:customStyle="1" w:styleId="cat-Dategrp-18rplc-79">
    <w:name w:val="cat-Date grp-18 rplc-79"/>
    <w:basedOn w:val="DefaultParagraphFont"/>
  </w:style>
  <w:style w:type="character" w:customStyle="1" w:styleId="cat-FIOgrp-28rplc-80">
    <w:name w:val="cat-FIO grp-28 rplc-80"/>
    <w:basedOn w:val="DefaultParagraphFont"/>
  </w:style>
  <w:style w:type="character" w:customStyle="1" w:styleId="cat-FIOgrp-28rplc-81">
    <w:name w:val="cat-FIO grp-28 rplc-81"/>
    <w:basedOn w:val="DefaultParagraphFont"/>
  </w:style>
  <w:style w:type="character" w:customStyle="1" w:styleId="cat-FIOgrp-28rplc-82">
    <w:name w:val="cat-FIO grp-28 rplc-82"/>
    <w:basedOn w:val="DefaultParagraphFont"/>
  </w:style>
  <w:style w:type="character" w:customStyle="1" w:styleId="cat-FIOgrp-30rplc-83">
    <w:name w:val="cat-FIO grp-30 rplc-83"/>
    <w:basedOn w:val="DefaultParagraphFont"/>
  </w:style>
  <w:style w:type="character" w:customStyle="1" w:styleId="cat-Sumgrp-36rplc-84">
    <w:name w:val="cat-Sum grp-36 rplc-84"/>
    <w:basedOn w:val="DefaultParagraphFont"/>
  </w:style>
  <w:style w:type="character" w:customStyle="1" w:styleId="cat-Addressgrp-10rplc-85">
    <w:name w:val="cat-Address grp-10 rplc-85"/>
    <w:basedOn w:val="DefaultParagraphFont"/>
  </w:style>
  <w:style w:type="character" w:customStyle="1" w:styleId="cat-Addressgrp-1rplc-86">
    <w:name w:val="cat-Address grp-1 rplc-86"/>
    <w:basedOn w:val="DefaultParagraphFont"/>
  </w:style>
  <w:style w:type="character" w:customStyle="1" w:styleId="cat-Addressgrp-1rplc-87">
    <w:name w:val="cat-Address grp-1 rplc-87"/>
    <w:basedOn w:val="DefaultParagraphFont"/>
  </w:style>
  <w:style w:type="character" w:customStyle="1" w:styleId="cat-PhoneNumbergrp-45rplc-88">
    <w:name w:val="cat-PhoneNumber grp-45 rplc-88"/>
    <w:basedOn w:val="DefaultParagraphFont"/>
  </w:style>
  <w:style w:type="character" w:customStyle="1" w:styleId="cat-PhoneNumbergrp-46rplc-89">
    <w:name w:val="cat-PhoneNumber grp-46 rplc-89"/>
    <w:basedOn w:val="DefaultParagraphFont"/>
  </w:style>
  <w:style w:type="character" w:customStyle="1" w:styleId="cat-Addressgrp-1rplc-90">
    <w:name w:val="cat-Address grp-1 rplc-90"/>
    <w:basedOn w:val="DefaultParagraphFont"/>
  </w:style>
  <w:style w:type="character" w:customStyle="1" w:styleId="cat-Addressgrp-11rplc-91">
    <w:name w:val="cat-Address grp-11 rplc-91"/>
    <w:basedOn w:val="DefaultParagraphFont"/>
  </w:style>
  <w:style w:type="character" w:customStyle="1" w:styleId="cat-PhoneNumbergrp-47rplc-92">
    <w:name w:val="cat-PhoneNumber grp-47 rplc-92"/>
    <w:basedOn w:val="DefaultParagraphFont"/>
  </w:style>
  <w:style w:type="character" w:customStyle="1" w:styleId="cat-PhoneNumbergrp-48rplc-93">
    <w:name w:val="cat-PhoneNumber grp-48 rplc-93"/>
    <w:basedOn w:val="DefaultParagraphFont"/>
  </w:style>
  <w:style w:type="character" w:customStyle="1" w:styleId="cat-PhoneNumbergrp-49rplc-94">
    <w:name w:val="cat-PhoneNumber grp-49 rplc-94"/>
    <w:basedOn w:val="DefaultParagraphFont"/>
  </w:style>
  <w:style w:type="character" w:customStyle="1" w:styleId="cat-PhoneNumbergrp-50rplc-95">
    <w:name w:val="cat-PhoneNumber grp-50 rplc-95"/>
    <w:basedOn w:val="DefaultParagraphFont"/>
  </w:style>
  <w:style w:type="character" w:customStyle="1" w:styleId="cat-PhoneNumbergrp-51rplc-96">
    <w:name w:val="cat-PhoneNumber grp-51 rplc-96"/>
    <w:basedOn w:val="DefaultParagraphFont"/>
  </w:style>
  <w:style w:type="character" w:customStyle="1" w:styleId="cat-Addressgrp-1rplc-97">
    <w:name w:val="cat-Address grp-1 rplc-97"/>
    <w:basedOn w:val="DefaultParagraphFont"/>
  </w:style>
  <w:style w:type="character" w:customStyle="1" w:styleId="cat-Addressgrp-12rplc-98">
    <w:name w:val="cat-Address grp-12 rplc-98"/>
    <w:basedOn w:val="DefaultParagraphFont"/>
  </w:style>
  <w:style w:type="character" w:customStyle="1" w:styleId="cat-SumInWordsgrp-35rplc-99">
    <w:name w:val="cat-SumInWords grp-35 rplc-99"/>
    <w:basedOn w:val="DefaultParagraphFont"/>
  </w:style>
  <w:style w:type="character" w:customStyle="1" w:styleId="cat-Addressgrp-1rplc-100">
    <w:name w:val="cat-Address grp-1 rplc-100"/>
    <w:basedOn w:val="DefaultParagraphFont"/>
  </w:style>
  <w:style w:type="character" w:customStyle="1" w:styleId="cat-Addressgrp-1rplc-101">
    <w:name w:val="cat-Address grp-1 rplc-101"/>
    <w:basedOn w:val="DefaultParagraphFont"/>
  </w:style>
  <w:style w:type="character" w:customStyle="1" w:styleId="cat-Addressgrp-13rplc-102">
    <w:name w:val="cat-Address grp-13 rplc-102"/>
    <w:basedOn w:val="DefaultParagraphFont"/>
  </w:style>
  <w:style w:type="character" w:customStyle="1" w:styleId="cat-Addressgrp-14rplc-103">
    <w:name w:val="cat-Address grp-14 rplc-103"/>
    <w:basedOn w:val="DefaultParagraphFont"/>
  </w:style>
  <w:style w:type="character" w:customStyle="1" w:styleId="cat-FIOgrp-31rplc-104">
    <w:name w:val="cat-FIO grp-31 rplc-10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F06F49C0F30072B4A81E7110370FD440300389964A77FCA22AD8170A0EC3B52578BBCCBB6nFh3L" TargetMode="External" /><Relationship Id="rId5" Type="http://schemas.openxmlformats.org/officeDocument/2006/relationships/hyperlink" Target="consultantplus://offline/ref=737392E48CD5EBD4CA453875B138ABCE78A0277A5AF0EE25078A010CF24E03F71AED8823D044BDC1OBmFL" TargetMode="External" /><Relationship Id="rId6" Type="http://schemas.openxmlformats.org/officeDocument/2006/relationships/hyperlink" Target="https://rospravosudie.com/law/%D0%A1%D1%82%D0%B0%D1%82%D1%8C%D1%8F_26.2_%D0%9A%D0%BE%D0%90%D0%9F_%D0%A0%D0%A4" TargetMode="External" /><Relationship Id="rId7" Type="http://schemas.openxmlformats.org/officeDocument/2006/relationships/hyperlink" Target="https://rospravosudie.com/law/%D0%A1%D1%82%D0%B0%D1%82%D1%8C%D1%8F_1.6_%D0%9A%D0%BE%D0%90%D0%9F_%D0%A0%D0%A4" TargetMode="External" /><Relationship Id="rId8" Type="http://schemas.openxmlformats.org/officeDocument/2006/relationships/hyperlink" Target="https://rospravosudie.com/law/%D0%A1%D1%82%D0%B0%D1%82%D1%8C%D1%8F_2.1_%D0%9A%D0%BE%D0%90%D0%9F_%D0%A0%D0%A4" TargetMode="External" /><Relationship Id="rId9" Type="http://schemas.openxmlformats.org/officeDocument/2006/relationships/hyperlink" Target="https://rospravosudie.com/law/%D0%A1%D1%82%D0%B0%D1%82%D1%8C%D1%8F_24.1_%D0%9A%D0%BE%D0%90%D0%9F_%D0%A0%D0%A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