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290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 Нижнегорский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29rplc-3"/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(должностным лицом не указана дата рождения)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91052025800074100001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К(Ф)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Межрайонную инспекцию Федеральной налоговой службы № 1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нарушением срока, установленного п. 7 ст. 431 Налогового кодекса РФ, не обеспечение представление расчетов по страховым взносам не позднее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надлежаще извещенный о дне и времени слушания дела, в судебное заседание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 сообщил причину неявки, хотя надлежащим образом был извещен о дне и времени слушания дела, что подтверждено уведомлением о вручении, приобщенным к материалам дела, о причинах неявки суду не сообщил.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Российской Федерации № 5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Поэтому суд признает её явку не обязательной, а имеющиеся материалы дела достаточными для рассмотрения дела по существу, по имеющимся доказательствам, поскольку ей не заявлено письменных возражений и ходатайств об отложении рассмотрения дела.</w:t>
      </w:r>
    </w:p>
    <w:p>
      <w:pPr>
        <w:spacing w:before="0" w:after="0"/>
        <w:ind w:right="7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91052025800074100001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расчета по страховым взносам с отметкой о направлении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сроков представления декларации (расчета по страховым взносам) составляет объективную сторону данного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рассматриваемого правонарушения является руководитель организации-налогоплательщика, плательщика сборов.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57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каждый обязан платить законно установленные налоги и сборы.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НК РФ налоговая декларация (расчет) может быть представлена налогоплательщиком (плательщиком сбора,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Налоговый орган не вправе отказать в принятии налоговой декларации (расчета), представленной налогоплательщиком (плательщиком сборов, налоговым агентом) по установленной форме (установленному формату), и обязан проставить по просьбе налогоплательщика (плательщика сбора, налогового агента) на копии налоговой декларации (копии расчета) отметку о принятии и дату ее получения при получении налоговой декларации (расчета) на бумажном носителе либо передать налогоплательщику (плательщику сбора, налоговому агенту) квитанцию о приеме в электронной форме - при получении налоговой декларации (расчета)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419 НК РФ плательщиками страховых взносов признаются лица, производящие выплаты и иные вознаграждения физическим лицам.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ст. 420 НК РФ объектом обложения страховыми взносами для плательщиков страховых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лиц, в частности, в рамках трудовых отношений и гражданско-правовых договоров, предметом которых является выполнение работ, оказание услуг.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исчисления и уплаты страховых взносов, уплачиваемых плательщиками, производящими выплаты и иные вознаграждения физическим лицам, определен статьей 431 НК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7 ст. 431 НК РФ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не позднее 30-го числа месяца, следующего за расчетным (отчетным) периодом, в налоговый орган по месту учета расчет по страховым взносам.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Кодексом не предусмотрено освобождение от исполнения обязанности плательщика страховых взносов по представлению расчетов по страховым взносам в случае неосуществления организацией финансово-хозяйственной деятельности.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Представляя расчеты по страховым взносам с ну</w:t>
      </w:r>
      <w:r>
        <w:rPr>
          <w:rFonts w:ascii="Times New Roman" w:eastAsia="Times New Roman" w:hAnsi="Times New Roman" w:cs="Times New Roman"/>
          <w:sz w:val="28"/>
          <w:szCs w:val="28"/>
        </w:rPr>
        <w:t>левыми показателями, плательщик заявляет в налоговый орган об отсутствии в конкретном отчетном периоде выплат и вознаграждений в пользу физических лиц, являющихся объектом обложения страховыми взносами, и, соответственно, об отсутствии сумм страховых взносов, подлежащих уплате за этот же отчетный период.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случае отсутствия у плательщика страховых взносов выплат в пользу физических лиц в течение того или иного расчетного (отчетного) периода, плательщик обязан представить в установленный срок в налоговый орган расчет по страховым взносам с нулевыми показателями.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419 ч. 1 НК РФ,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пересылке отчетности по телекоммуникационным каналам связи (по электронной почте) датой представления отчетности в налоговую инспекцию считается дата ее отправки. Такой вывод следует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hyperlink r:id="rId6" w:history="1"/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регламента, утвержденного Приказом ФНС России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ММВ-7-19/343@ «Об утверждении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 ст. 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 законными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1, ч.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7 Федерального Закона «О бухгалтерском учете» от </w:t>
      </w:r>
      <w:r>
        <w:rPr>
          <w:rStyle w:val="cat-Dategrp-1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1, ч.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7 Федерального Закона «О бухгалтерском учете»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К(Ф)</w:t>
      </w:r>
      <w:r>
        <w:rPr>
          <w:rStyle w:val="cat-Addressgrp-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по состоянию на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или иное должностное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обязанность по предоставлению расчетов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год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сроки до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установленный п. 7 ст. 431 НК РФ своевременно не исполнил. Расчет по страховым взносам (КНД 1151111)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 в налоговый орган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представления расчетов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на </w:t>
      </w:r>
      <w:r>
        <w:rPr>
          <w:rStyle w:val="cat-Dategrp-1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в чьи обязанности входило своевременное представление налоговых деклараций в налоговый орган.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впервые подвергающе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административной ответственности, наличие смягчающих и отсутствие отягчающих административную ответственность обстоятельств, суд считает необходимо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Харченко О.В.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предусмотренное санкцией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15.5,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32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46"/>
          <w:rFonts w:ascii="Times New Roman" w:eastAsia="Times New Roman" w:hAnsi="Times New Roman" w:cs="Times New Roman"/>
          <w:sz w:val="28"/>
          <w:szCs w:val="28"/>
        </w:rPr>
        <w:t>Харченко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(Межрайонная ИФНС России № 1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КБК 18211603030016000140; ОКТМО </w:t>
      </w:r>
      <w:r>
        <w:rPr>
          <w:rStyle w:val="cat-PhoneNumbergrp-25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6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7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ЦБ РФ открытый УФК по РК; БИК – </w:t>
      </w:r>
      <w:r>
        <w:rPr>
          <w:rStyle w:val="cat-PhoneNumbergrp-28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29rplc-3">
    <w:name w:val="cat-UserDefined grp-29 rplc-3"/>
    <w:basedOn w:val="DefaultParagraphFont"/>
  </w:style>
  <w:style w:type="character" w:customStyle="1" w:styleId="cat-PassportDatagrp-24rplc-4">
    <w:name w:val="cat-PassportData grp-24 rplc-4"/>
    <w:basedOn w:val="DefaultParagraphFont"/>
  </w:style>
  <w:style w:type="character" w:customStyle="1" w:styleId="cat-UserDefinedgrp-30rplc-5">
    <w:name w:val="cat-UserDefined grp-3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UserDefinedgrp-32rplc-42">
    <w:name w:val="cat-UserDefined grp-32 rplc-42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UserDefinedgrp-29rplc-46">
    <w:name w:val="cat-UserDefined grp-29 rplc-46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25rplc-50">
    <w:name w:val="cat-PhoneNumber grp-25 rplc-50"/>
    <w:basedOn w:val="DefaultParagraphFont"/>
  </w:style>
  <w:style w:type="character" w:customStyle="1" w:styleId="cat-PhoneNumbergrp-26rplc-51">
    <w:name w:val="cat-PhoneNumber grp-26 rplc-51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7rplc-58">
    <w:name w:val="cat-Address grp-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B8451D22003B544BE3555A7D74C8BCA80E5F91FC1756E1E0AECF8AAC5F586D8C523C720A9Bx9F8P" TargetMode="External" /><Relationship Id="rId5" Type="http://schemas.openxmlformats.org/officeDocument/2006/relationships/hyperlink" Target="consultantplus://offline/ref=A05D7559EC9D641362BF54CC686F37BF9F44083B3752F5A771F9F552EC17DEC15E05C8881971CCA3E268869BAEFFE1B6D76E34C155EDa7eAL" TargetMode="External" /><Relationship Id="rId6" Type="http://schemas.openxmlformats.org/officeDocument/2006/relationships/hyperlink" Target="consultantplus://offline/ref=74FA66523E07C35DE8B2487329BDB53D500943B6D87AA61E3EE9886CD6FF862FF704023279O5N" TargetMode="External" /><Relationship Id="rId7" Type="http://schemas.openxmlformats.org/officeDocument/2006/relationships/hyperlink" Target="consultantplus://offline/ref=0D013B4B18D28F5F08C23CCBDF3352259F78427D6316322487658DFAAC38D4C156ED4DE15869D5C4s5vDH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