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292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 xml:space="preserve">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п. Нижнегорский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Гноевой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UserDefinedgrp-31rplc-3"/>
          <w:rFonts w:ascii="Times New Roman" w:eastAsia="Times New Roman" w:hAnsi="Times New Roman" w:cs="Times New Roman"/>
          <w:sz w:val="28"/>
          <w:szCs w:val="28"/>
        </w:rPr>
        <w:t>Окань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3rplc-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4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по адресу: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т. </w:t>
      </w:r>
      <w:r>
        <w:rPr>
          <w:rFonts w:ascii="Times New Roman" w:eastAsia="Times New Roman" w:hAnsi="Times New Roman" w:cs="Times New Roman"/>
          <w:sz w:val="28"/>
          <w:szCs w:val="28"/>
        </w:rPr>
        <w:t>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у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91052025800065600001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Руденко Г.В.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5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 в Межрайонную инспекцию Федеральной налоговой службы № 1 по </w:t>
      </w:r>
      <w:r>
        <w:rPr>
          <w:rStyle w:val="cat-Addressgrp-1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(КНД 1151111)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календарный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то есть с нарушением срока, установленного п. 7 ст. 431 Налогового кодекса РФ, не обеспечение представление расчетов по страховым взносам не позднее </w:t>
      </w:r>
      <w:r>
        <w:rPr>
          <w:rStyle w:val="cat-Dategrp-11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чем совершил административное правонарушение, предусмотренное ст. 15.5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Окань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надлежаще извещенный о дне и времени слушания дела, в судебное заседание не явился, представив письменное заявление в котором вину в совершении административного правонарушения полностью признал, кроме того просил рассмотреть административное дело в его отсутствие, письменных возражений и ходатайств об отложении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Окань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заявлено.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пришёл к выводу, что обстоятельств, исключающих производство по делу не имеется, протокол об административном правонарушении и другие материалы дела составлены правильно в соответствии с КоАП РФ и достаточны для рассмотрения по существу, ходатайств и отводов не имеется. В связи с чем, 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Окань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заседании, что не препятствует всестороннему, полному, объективному и своевременному выяснению обстоятельств дела, и разрешению его по существу, в соответствии с законом.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признания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Окань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вина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91052025800065600001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выпиской из ЕГРЮЛ от </w:t>
      </w:r>
      <w:r>
        <w:rPr>
          <w:rStyle w:val="cat-Dategrp-9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расчета по страховым взносам, с отметкой о его принятии </w:t>
      </w:r>
      <w:r>
        <w:rPr>
          <w:rStyle w:val="cat-Dategrp-10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уведомление о составлении 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приходит к выводу о том, что протокол об административном правонарушении составлен в соответствии с требованиями ст. 28.2 КоАП РФ, должностным лицом органа, уполномоченного составлять протоколы об административных правонарушениях. Существенных недостатков, которые могли бы повлечь его недействительность, протокол не содержит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15.5 КоАП РФ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наказание в виде предупреждения или наложения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Нарушение установленных сроков представления декларации (расчета по страховым взносам) составляет объективную сторону данного правонарушения.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Субъектом рассматриваемого правонарушения является руководитель организации-налогоплательщика, плательщика сборов.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57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 каждый обязан платить законно установленные налоги и сборы.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19 Налогового кодекса РФ установлено, что налогоплательщиками и плательщиками сборов признаются организации и физические лица, на которых в соответствии с настоящим Кодексом возложена обязанность уплачивать соответственно налоги и (или) сборы.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п. 5 ст. 23 Налогового кодекса РФ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4 ст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.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80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НК РФ налоговая декларация (расчет) может быть представлена налогоплательщиком (плательщиком сбора, налоговым агентом)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Налоговый орган не вправе отказать в принятии налоговой декларации (расчета), представленной налогоплательщиком (плательщиком сборов, налоговым агентом) по установленной форме (установленному формату), и обязан проставить по просьбе налогоплательщика (плательщика сбора, налогового агента) на копии налоговой декларации (копии расчета) отметку о принятии и дату ее получения при получении налоговой декларации (расчета) на бумажном носителе либо передать налогоплательщику (плательщику сбора, налоговому агенту) квитанцию о приеме в электронной форме - при получении налоговой декларации (расчета) по телекоммуникационным каналам связи или через личный кабинет налогоплательщика.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отправке налоговой декларации (расчета) по почте днем ее представления считается дата отправки почтового отправления с описью вложения. При передаче налоговой декларации (расчета) по телекоммуникационным каналам связи или через личный кабинет налогоплательщика днем ее представления считается дата ее отправки.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пп. 1 п. 1 ст. 419 НК РФ плательщиками страховых взносов признаются лица, производящие выплаты и иные вознаграждения физическим лицам.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 ст. 420 НК РФ объектом обложения страховыми взносами для плательщиков страховых взносов, производящих выплаты и иные вознаграждения физическим лицам, признаются выплаты и иные вознаграждения, начисляемые в пользу физических лиц, в частности, в рамках трудовых отношений и гражданско-правовых договоров, предметом которых является выполнение работ, оказание услуг.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исчисления и уплаты страховых взносов, уплачиваемых плательщиками, производящими выплаты и иные вознаграждения физическим лицам, определен статьей 431 НК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Пунктом 7 ст. 431 НК РФ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не позднее 30-го числа месяца, следующего за расчетным (отчетным) периодом, в налоговый орган по месту учета расчет по страховым взносам.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Кодексом не предусмотрено освобождение от исполнения обязанности плательщика страховых взносов по представлению расчетов по страховым взносам в случае неосуществления организацией финансово-хозяйственной деятельности.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Представляя расчеты по страховым взносам с нулевыми показателями, плательщик заявляет в налоговый орган об отсутствии в конкретном отчетном периоде выплат и вознаграждений в пользу физических лиц, являющихся объектом обложения страховыми взносами, и, соответственно, об отсутствии сумм страховых взносов, подлежащих уплате за этот же отчетный период.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 случае отсутствия у плательщика страховых взносов выплат в пользу физических лиц в течение того или иного расчетного (отчетного) периода, плательщик обязан представить в установленный срок в налоговый орган расчет по страховым взносам с нулевыми показателями.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419 ч. 1 НК РФ,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пересылке отчетности по телекоммуникационным каналам связи (по электронной почте) датой представления отчетности в налоговую инспекцию считается дата ее отправки. Такой вывод следует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22"/>
          <w:rFonts w:ascii="Times New Roman" w:eastAsia="Times New Roman" w:hAnsi="Times New Roman" w:cs="Times New Roman"/>
          <w:sz w:val="28"/>
          <w:szCs w:val="28"/>
        </w:rPr>
        <w:t>адрес</w:t>
      </w:r>
      <w:hyperlink r:id="rId6" w:history="1"/>
      <w:r>
        <w:rPr>
          <w:rFonts w:ascii="Times New Roman" w:eastAsia="Times New Roman" w:hAnsi="Times New Roman" w:cs="Times New Roman"/>
          <w:sz w:val="28"/>
          <w:szCs w:val="28"/>
        </w:rPr>
        <w:t xml:space="preserve">регламента, утвержденного Приказом ФНС России от </w:t>
      </w:r>
      <w:r>
        <w:rPr>
          <w:rStyle w:val="cat-Dategrp-12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ММВ-7-19/343@ «Об утверждении Федеральной налоговой службы по предоставлению государственной услуги по бесплатному информированию (в том числе в письменной форме) налогоплательщиков, плательщиков сборов, плательщиков страховых взносов и налоговых агентов о действующих налогах, сборах и страховых взносах, законодательстве о налогах и сборах и принятых в соответствии с ним нормативных правовых актах, порядке исчисления и уплаты налогов, сборов и страховых взносов, правах и обязанностях налогоплательщиков, плательщиков сборов, плательщиков страховых взносов и налоговых агентов, полномочиях налоговых органов и их должностных лиц, а также по приему налоговых деклараций (расчетов)»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п. 1 ст. 27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 законными представителями налогоплательщика-организации признаются лица, уполномоченные представлять указанную организацию на основании закона или ее учредительных документов.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1, ч.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7 Федерального Закона «О бухгалтерском учете» от </w:t>
      </w:r>
      <w:r>
        <w:rPr>
          <w:rStyle w:val="cat-Dategrp-13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предусмотрено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1, ч.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7 Федерального Закона «О бухгалтерском учете» от </w:t>
      </w:r>
      <w:r>
        <w:rPr>
          <w:rStyle w:val="cat-Dategrp-13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402-ФЗ ведение бухгалтерского учета и хранение документов бухгалтерского учета организуются руководителем экономического субъекта.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Руководитель экономического субъекта обязан возложить ведение бухгалтерского учета на главного бухгалтера или иное должностное лицо этого субъекта.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предусмотрено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 от </w:t>
      </w:r>
      <w:r>
        <w:rPr>
          <w:rStyle w:val="cat-Dategrp-9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OrganizationNamegrp-24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Окань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этом по состоянию на </w:t>
      </w:r>
      <w:r>
        <w:rPr>
          <w:rStyle w:val="cat-Dategrp-11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главный бухгалтер или иное должностное лицо, на которое возложены обязанности предоставлению в налоговый орган налоговых деклараций на предприятии отсутствовал.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Окань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свою обязанность по предоставлению расчетов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календарный год </w:t>
      </w:r>
      <w:r>
        <w:rPr>
          <w:rStyle w:val="cat-Dategrp-8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сроки до </w:t>
      </w:r>
      <w:r>
        <w:rPr>
          <w:rStyle w:val="cat-Dategrp-11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установленный п. 7 ст. 431 НК РФ своевременно не исполнил. Расчет по страховым взносам (КНД 1151111)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указанный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только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4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судебном заседании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Окань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момент представления расчетов по страховым взносам за </w:t>
      </w:r>
      <w:r>
        <w:rPr>
          <w:rFonts w:ascii="Times New Roman" w:eastAsia="Times New Roman" w:hAnsi="Times New Roman" w:cs="Times New Roman"/>
          <w:sz w:val="28"/>
          <w:szCs w:val="28"/>
        </w:rPr>
        <w:t>календарный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именно на </w:t>
      </w:r>
      <w:r>
        <w:rPr>
          <w:rStyle w:val="cat-Dategrp-11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лицом, в чьи обязанности входило своевременное представление налоговых деклараций в налоговый орган.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Окань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Окань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содеянном, и раскаяние лица, совершившего административное правонарушение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Отягчающих административную ответственность обстоятельств, не установлено.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наличие смягчающих и отсутствие отягчающих административную ответственность обстоятельств, для достижения цели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Окань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считает возможным назначить ему минимальное наказание предусмотренное санкцией ст. 15.5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 15.5, 29.9, 29.10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Style w:val="cat-OrganizationNamegrp-26rplc-4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2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42"/>
          <w:rFonts w:ascii="Times New Roman" w:eastAsia="Times New Roman" w:hAnsi="Times New Roman" w:cs="Times New Roman"/>
          <w:sz w:val="28"/>
          <w:szCs w:val="28"/>
        </w:rPr>
        <w:t>Окань В.М.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и назначить ему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триста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перечислению на следующие реквизиты: наименование получателя платежа - УФК по </w:t>
      </w:r>
      <w:r>
        <w:rPr>
          <w:rStyle w:val="cat-Addressgrp-1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 юстиции РК, л/с 04752203230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КБК </w:t>
      </w:r>
      <w:r>
        <w:rPr>
          <w:rFonts w:ascii="Times New Roman" w:eastAsia="Times New Roman" w:hAnsi="Times New Roman" w:cs="Times New Roman"/>
          <w:sz w:val="28"/>
          <w:szCs w:val="28"/>
        </w:rPr>
        <w:t>82811601153010006140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ОКТМО </w:t>
      </w:r>
      <w:r>
        <w:rPr>
          <w:rStyle w:val="cat-PhoneNumbergrp-27rplc-4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28rplc-4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КПП </w:t>
      </w:r>
      <w:r>
        <w:rPr>
          <w:rStyle w:val="cat-PhoneNumbergrp-29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р/с 40101810335100010001; банк получателя – отделение по </w:t>
      </w:r>
      <w:r>
        <w:rPr>
          <w:rStyle w:val="cat-Addressgrp-1rplc-4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ЦБ РФ открытый УФК по РК; БИК – </w:t>
      </w:r>
      <w:r>
        <w:rPr>
          <w:rStyle w:val="cat-PhoneNumbergrp-30rplc-5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5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5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6rplc-5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А.И. Гноевой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0">
    <w:name w:val="cat-Address grp-1 rplc-0"/>
    <w:basedOn w:val="DefaultParagraphFont"/>
  </w:style>
  <w:style w:type="character" w:customStyle="1" w:styleId="cat-UserDefinedgrp-31rplc-3">
    <w:name w:val="cat-UserDefined grp-31 rplc-3"/>
    <w:basedOn w:val="DefaultParagraphFont"/>
  </w:style>
  <w:style w:type="character" w:customStyle="1" w:styleId="cat-PassportDatagrp-23rplc-4">
    <w:name w:val="cat-PassportData grp-23 rplc-4"/>
    <w:basedOn w:val="DefaultParagraphFont"/>
  </w:style>
  <w:style w:type="character" w:customStyle="1" w:styleId="cat-OrganizationNamegrp-24rplc-5">
    <w:name w:val="cat-OrganizationName grp-24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Dategrp-9rplc-8">
    <w:name w:val="cat-Date grp-9 rplc-8"/>
    <w:basedOn w:val="DefaultParagraphFont"/>
  </w:style>
  <w:style w:type="character" w:customStyle="1" w:styleId="cat-OrganizationNamegrp-25rplc-10">
    <w:name w:val="cat-OrganizationName grp-25 rplc-10"/>
    <w:basedOn w:val="DefaultParagraphFont"/>
  </w:style>
  <w:style w:type="character" w:customStyle="1" w:styleId="cat-Addressgrp-1rplc-11">
    <w:name w:val="cat-Address grp-1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Dategrp-10rplc-21">
    <w:name w:val="cat-Date grp-10 rplc-21"/>
    <w:basedOn w:val="DefaultParagraphFont"/>
  </w:style>
  <w:style w:type="character" w:customStyle="1" w:styleId="cat-Addressgrp-4rplc-22">
    <w:name w:val="cat-Address grp-4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13rplc-25">
    <w:name w:val="cat-Date grp-13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OrganizationNamegrp-24rplc-27">
    <w:name w:val="cat-OrganizationName grp-24 rplc-27"/>
    <w:basedOn w:val="DefaultParagraphFont"/>
  </w:style>
  <w:style w:type="character" w:customStyle="1" w:styleId="cat-Dategrp-11rplc-29">
    <w:name w:val="cat-Date grp-11 rplc-29"/>
    <w:basedOn w:val="DefaultParagraphFont"/>
  </w:style>
  <w:style w:type="character" w:customStyle="1" w:styleId="cat-Dategrp-8rplc-31">
    <w:name w:val="cat-Date grp-8 rplc-31"/>
    <w:basedOn w:val="DefaultParagraphFont"/>
  </w:style>
  <w:style w:type="character" w:customStyle="1" w:styleId="cat-Dategrp-11rplc-32">
    <w:name w:val="cat-Date grp-11 rplc-32"/>
    <w:basedOn w:val="DefaultParagraphFont"/>
  </w:style>
  <w:style w:type="character" w:customStyle="1" w:styleId="cat-Dategrp-14rplc-33">
    <w:name w:val="cat-Date grp-14 rplc-33"/>
    <w:basedOn w:val="DefaultParagraphFont"/>
  </w:style>
  <w:style w:type="character" w:customStyle="1" w:styleId="cat-Dategrp-8rplc-35">
    <w:name w:val="cat-Date grp-8 rplc-35"/>
    <w:basedOn w:val="DefaultParagraphFont"/>
  </w:style>
  <w:style w:type="character" w:customStyle="1" w:styleId="cat-Dategrp-11rplc-36">
    <w:name w:val="cat-Date grp-11 rplc-36"/>
    <w:basedOn w:val="DefaultParagraphFont"/>
  </w:style>
  <w:style w:type="character" w:customStyle="1" w:styleId="cat-OrganizationNamegrp-26rplc-40">
    <w:name w:val="cat-OrganizationName grp-26 rplc-40"/>
    <w:basedOn w:val="DefaultParagraphFont"/>
  </w:style>
  <w:style w:type="character" w:customStyle="1" w:styleId="cat-Addressgrp-2rplc-41">
    <w:name w:val="cat-Address grp-2 rplc-41"/>
    <w:basedOn w:val="DefaultParagraphFont"/>
  </w:style>
  <w:style w:type="character" w:customStyle="1" w:styleId="cat-UserDefinedgrp-31rplc-42">
    <w:name w:val="cat-UserDefined grp-31 rplc-42"/>
    <w:basedOn w:val="DefaultParagraphFont"/>
  </w:style>
  <w:style w:type="character" w:customStyle="1" w:styleId="cat-Addressgrp-1rplc-45">
    <w:name w:val="cat-Address grp-1 rplc-45"/>
    <w:basedOn w:val="DefaultParagraphFont"/>
  </w:style>
  <w:style w:type="character" w:customStyle="1" w:styleId="cat-PhoneNumbergrp-27rplc-46">
    <w:name w:val="cat-PhoneNumber grp-27 rplc-46"/>
    <w:basedOn w:val="DefaultParagraphFont"/>
  </w:style>
  <w:style w:type="character" w:customStyle="1" w:styleId="cat-PhoneNumbergrp-28rplc-47">
    <w:name w:val="cat-PhoneNumber grp-28 rplc-47"/>
    <w:basedOn w:val="DefaultParagraphFont"/>
  </w:style>
  <w:style w:type="character" w:customStyle="1" w:styleId="cat-PhoneNumbergrp-29rplc-48">
    <w:name w:val="cat-PhoneNumber grp-29 rplc-48"/>
    <w:basedOn w:val="DefaultParagraphFont"/>
  </w:style>
  <w:style w:type="character" w:customStyle="1" w:styleId="cat-Addressgrp-1rplc-49">
    <w:name w:val="cat-Address grp-1 rplc-49"/>
    <w:basedOn w:val="DefaultParagraphFont"/>
  </w:style>
  <w:style w:type="character" w:customStyle="1" w:styleId="cat-PhoneNumbergrp-30rplc-50">
    <w:name w:val="cat-PhoneNumber grp-30 rplc-50"/>
    <w:basedOn w:val="DefaultParagraphFont"/>
  </w:style>
  <w:style w:type="character" w:customStyle="1" w:styleId="cat-Addressgrp-1rplc-51">
    <w:name w:val="cat-Address grp-1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Addressgrp-5rplc-53">
    <w:name w:val="cat-Address grp-5 rplc-53"/>
    <w:basedOn w:val="DefaultParagraphFont"/>
  </w:style>
  <w:style w:type="character" w:customStyle="1" w:styleId="cat-Addressgrp-6rplc-54">
    <w:name w:val="cat-Address grp-6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AB8451D22003B544BE3555A7D74C8BCA80E5F91FC1756E1E0AECF8AAC5F586D8C523C720A9Bx9F8P" TargetMode="External" /><Relationship Id="rId5" Type="http://schemas.openxmlformats.org/officeDocument/2006/relationships/hyperlink" Target="consultantplus://offline/ref=A05D7559EC9D641362BF54CC686F37BF9F44083B3752F5A771F9F552EC17DEC15E05C8881971CCA3E268869BAEFFE1B6D76E34C155EDa7eAL" TargetMode="External" /><Relationship Id="rId6" Type="http://schemas.openxmlformats.org/officeDocument/2006/relationships/hyperlink" Target="consultantplus://offline/ref=74FA66523E07C35DE8B2487329BDB53D500943B6D87AA61E3EE9886CD6FF862FF704023279O5N" TargetMode="External" /><Relationship Id="rId7" Type="http://schemas.openxmlformats.org/officeDocument/2006/relationships/hyperlink" Target="consultantplus://offline/ref=0D013B4B18D28F5F08C23CCBDF3352259F78427D6316322487658DFAAC38D4C156ED4DE15869D5C4s5vDH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