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357</w:t>
      </w:r>
      <w:r>
        <w:rPr>
          <w:b w:val="0"/>
          <w:bCs w:val="0"/>
          <w:i w:val="0"/>
          <w:sz w:val="28"/>
          <w:szCs w:val="28"/>
        </w:rPr>
        <w:t>/2021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УИД91</w:t>
      </w:r>
      <w:r>
        <w:rPr>
          <w:b w:val="0"/>
          <w:bCs w:val="0"/>
          <w:i w:val="0"/>
          <w:sz w:val="28"/>
          <w:szCs w:val="28"/>
        </w:rPr>
        <w:t>MS</w:t>
      </w:r>
      <w:r>
        <w:rPr>
          <w:b w:val="0"/>
          <w:bCs w:val="0"/>
          <w:i w:val="0"/>
          <w:sz w:val="28"/>
          <w:szCs w:val="28"/>
        </w:rPr>
        <w:t>0065-</w:t>
      </w:r>
      <w:r>
        <w:rPr>
          <w:rStyle w:val="cat-PhoneNumbergrp-28rplc-0"/>
          <w:b w:val="0"/>
          <w:bCs w:val="0"/>
          <w:i w:val="0"/>
          <w:sz w:val="28"/>
          <w:szCs w:val="28"/>
        </w:rPr>
        <w:t>телефон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rStyle w:val="cat-PhoneNumbergrp-29rplc-1"/>
          <w:b w:val="0"/>
          <w:bCs w:val="0"/>
          <w:i w:val="0"/>
          <w:sz w:val="28"/>
          <w:szCs w:val="28"/>
        </w:rPr>
        <w:t>телефон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Министерства юстиции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3261"/>
        <w:jc w:val="both"/>
        <w:rPr>
          <w:sz w:val="28"/>
          <w:szCs w:val="28"/>
        </w:rPr>
      </w:pPr>
      <w:r>
        <w:rPr>
          <w:rStyle w:val="cat-UserDefinedgrp-36rplc-6"/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юридический адрес: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</w:t>
      </w:r>
      <w:r>
        <w:rPr>
          <w:rStyle w:val="cat-UserDefinedgrp-4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ИНН/КПП </w:t>
      </w:r>
      <w:r>
        <w:rPr>
          <w:rStyle w:val="cat-UserDefinedgrp-4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Юридическим лицом – </w:t>
      </w:r>
      <w:r>
        <w:rPr>
          <w:rStyle w:val="cat-UserDefinedgrp-4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расположенной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7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п.1.2 Приказа Министерства юстиции Российской Федерации от </w:t>
      </w: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122 «Об установлении сроков представления некоммерческими организациями отчетности»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общественное объединение представляет в Министерство </w:t>
      </w:r>
      <w:r>
        <w:rPr>
          <w:rFonts w:ascii="Times New Roman" w:eastAsia="Times New Roman" w:hAnsi="Times New Roman" w:cs="Times New Roman"/>
          <w:sz w:val="28"/>
          <w:szCs w:val="28"/>
        </w:rPr>
        <w:t>юстиции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(его территориальный орган), документы, содержащие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об объеме денежных средств и иного имущества, получаемых им от иностранного государства, их государственных органов, международных и иностранных организаций, иностранных граждан, лиц без гражданства либо уполномоченных ими лицо и (или) от российских юридических лиц, получающих денежные средства и иное имущество от указанных источников, о целях расходования этих денежных средств и использования иного имущества и об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фактическим расходовании или использовании, ежегодно, не позднее </w:t>
      </w:r>
      <w:r>
        <w:rPr>
          <w:rStyle w:val="cat-Dategrp-10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за отчетным. Документы за </w:t>
      </w:r>
      <w:r>
        <w:rPr>
          <w:rStyle w:val="cat-Dategrp-11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 не позднее </w:t>
      </w:r>
      <w:r>
        <w:rPr>
          <w:rStyle w:val="cat-Dategrp-12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что предоста</w:t>
      </w:r>
      <w:r>
        <w:rPr>
          <w:rFonts w:ascii="Times New Roman" w:eastAsia="Times New Roman" w:hAnsi="Times New Roman" w:cs="Times New Roman"/>
          <w:sz w:val="28"/>
          <w:szCs w:val="28"/>
        </w:rPr>
        <w:t>влено в указанные сроки не было, за что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ч. 1 ст. 19.5 КоАП РФ.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представитель ю</w:t>
      </w:r>
      <w:r>
        <w:rPr>
          <w:rFonts w:ascii="Times New Roman" w:eastAsia="Times New Roman" w:hAnsi="Times New Roman" w:cs="Times New Roman"/>
          <w:sz w:val="28"/>
          <w:szCs w:val="28"/>
        </w:rPr>
        <w:t>ридическ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UserDefinedgrp-3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явились, о дне и времени слушания дела извещены надлежащим образом, причин неявки суду не сообщили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разъяснениям п. 6 Постановления Пленума Верховного Суда РФ от </w:t>
      </w:r>
      <w:r>
        <w:rPr>
          <w:rStyle w:val="cat-Dategrp-13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целях соблюдения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29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 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26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данные о надлежащем извещении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 – Нижнегорского местного районного отделения Крымской региональной организацией Общероссийской организацией «Российский союз ветеранов Афганистана»,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принимая во внимание отсутствие ходатайств об отложении дела, суд на основании ст. 25.1 ч.2 КоАП РФ считает возможным рассмотреть данное дело в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сслед</w:t>
      </w:r>
      <w:r>
        <w:rPr>
          <w:rFonts w:ascii="Times New Roman" w:eastAsia="Times New Roman" w:hAnsi="Times New Roman" w:cs="Times New Roman"/>
          <w:sz w:val="28"/>
          <w:szCs w:val="28"/>
        </w:rPr>
        <w:t>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письменные доказательства и фактические данные в совокупности, 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– </w:t>
      </w:r>
      <w:r>
        <w:rPr>
          <w:rStyle w:val="cat-UserDefinedgrp-3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вменяемом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 нашла свое подтверждение в судебном заседании следующими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5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107/21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приказ Управления Министерства юстиции РФ по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545 от </w:t>
      </w:r>
      <w:r>
        <w:rPr>
          <w:rStyle w:val="cat-Dategrp-16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служебной запиской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предупреждением от </w:t>
      </w:r>
      <w:r>
        <w:rPr>
          <w:rStyle w:val="cat-Dategrp-1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направленным в адрес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– </w:t>
      </w:r>
      <w:r>
        <w:rPr>
          <w:rStyle w:val="cat-UserDefinedgrp-37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предоставлением срока до </w:t>
      </w:r>
      <w:r>
        <w:rPr>
          <w:rStyle w:val="cat-Dategrp-18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списком почтовых отправлений, служебной запиской от </w:t>
      </w:r>
      <w:r>
        <w:rPr>
          <w:rStyle w:val="cat-Dategrp-1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уведомлением,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по делу являются допустимыми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противоречивыми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правила в протоколах соблюдены, нарушения не выявлены.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 – Нижнегорского местного районного отделения Крымской региональной организацией Общероссийской организацией «Российский союз ветеранов Афганистана»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правонарушения, предусмотренного ст. 19.5 ч.1 КоАП РФ, а именно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юридическому лицу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19.5 КоАП РФ устанавливает административную ответственность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Объектом правонарушения по ст. 19.5 КоАП РФ являются общественные отношения в области осуществления государственного (муниципального) контроля и надзора.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правонарушений по ст. 19.5 КоАП РФ составляют действия (бездействие), выражающиеся в невыполнении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неисполнением в срок предписания понимается исполнение предписания частично в указанный этим предписанием срок или уклонение от его исполнения в целом.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Предписание выносится в случае выявления нарушений законодательства в целях их устранения. При этом предписание должно содержать только законные требования, то есть на юридическое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исполнимы. Исполнимость предписания является определяющим признаком его законности,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 Предписание как ненормативный правовой акт, содержащее законные требования, должно быть реально исполнимо и содержать конкретные указания, четкие формулировки относительно конкретных действий, которые необходимо совершить исполнителю и которые должны быть направлены на прекращение и устранение выявленного 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выяснение всех обстоятельств дела, разрешение его в соответствии с законом.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наступает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Объективную сторону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невыполнение в установленный срок законного предписания органа, осуществляющего муниципальный надзор об устранении нарушений законодательства.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юридическое лицо</w:t>
      </w:r>
      <w:r>
        <w:rPr>
          <w:rFonts w:ascii="Times New Roman" w:eastAsia="Times New Roman" w:hAnsi="Times New Roman" w:cs="Times New Roman"/>
          <w:sz w:val="28"/>
          <w:szCs w:val="28"/>
        </w:rPr>
        <w:t>– Нижнегорского местного районного отделения Крымской региональной организацией Общероссийской организацией «Российский союз ветеранов Афганистана»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1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выпиской из ЕГРЮЛ.</w:t>
      </w:r>
    </w:p>
    <w:p>
      <w:pPr>
        <w:spacing w:before="0" w:after="0"/>
        <w:ind w:firstLine="6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п.1.2 Приказа Министерства юстиции Российской Федерации от </w:t>
      </w:r>
      <w:r>
        <w:rPr>
          <w:rStyle w:val="cat-Dategrp-9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122 «Об установлении сроков представления некоммерческими организациями отчетности» общественное объединение представляет в Министерство юстиции Российской Федерации (его территориальный орган), документы, содержащие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информацию об объеме денежных средств и иного имущества, получаемых им </w:t>
      </w:r>
      <w:r>
        <w:rPr>
          <w:rFonts w:ascii="Times New Roman" w:eastAsia="Times New Roman" w:hAnsi="Times New Roman" w:cs="Times New Roman"/>
          <w:sz w:val="28"/>
          <w:szCs w:val="28"/>
        </w:rPr>
        <w:t>от иностранного государства, их государственных органов, международных и иностранных организаций, иностранных граждан, лиц без гражданства либо уполномоченных ими лицо и (или) от российских юридических лиц, получающих денежные средства и иное имущество от указанных источников, о целях расходования этих денежных средств и использования иного имущества и об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фактическим расходовании или использовании, ежегодно, не позднее </w:t>
      </w:r>
      <w:r>
        <w:rPr>
          <w:rStyle w:val="cat-Dategrp-10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за отчетным. </w:t>
      </w:r>
    </w:p>
    <w:p>
      <w:pPr>
        <w:spacing w:before="0" w:after="0"/>
        <w:ind w:firstLine="6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Документы за </w:t>
      </w:r>
      <w:r>
        <w:rPr>
          <w:rStyle w:val="cat-Dategrp-11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 не позднее </w:t>
      </w:r>
      <w:r>
        <w:rPr>
          <w:rStyle w:val="cat-Dategrp-12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доказательств того, что предоставлены данные у материалах дела отсутствуют и юридическим лицом не предоставлено.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 не представлено, чрезвычайных и непредотвратимых обстоятельств, исключающих возможность соблюдения действующих норм и правил,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Нижнегорского местного районного отделения Крымской региональной организацией Общероссийской организацией «Российский союз ветеранов Афганистана»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содержится состав административного правонарушения, предусмотренного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подлежат квалификации,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по делу являются допустимыми, последовательными и не противоречивыми.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личность правонарушителя. 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смягчающим административную ответственность обстоятельствам, согласно п. 1 ч. 1 ст. 4.2. КоАП РФ относится признание вины в содеянном и раскаяние лица, совершившего административное правонарушение.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и степень общественной опасности совершенного административного правонарушения,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ответственность, в связи с 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лицо– Нижнегорского местного районного отделения Крымской региональной организацией Общероссийской организацией «Российский союз ветеранов Афганистана»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 назначить наказание, предусмотренное ч. 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19.5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 ст.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9.9, 29.10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UserDefinedgrp-37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19.5. КоАП РФ, и назначить наказание в виде административного штрафа в размере </w:t>
      </w:r>
      <w:r>
        <w:rPr>
          <w:rStyle w:val="cat-Sumgrp-24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оплаты административного штрафа: получателю УФК по РК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юстиции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</w:t>
      </w:r>
      <w:r>
        <w:rPr>
          <w:rStyle w:val="cat-UserDefinedgrp-32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Style w:val="cat-PhoneNumbergrp-30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1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единый к/с </w:t>
      </w:r>
      <w:r>
        <w:rPr>
          <w:rStyle w:val="cat-UserDefinedgrp-38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к/с </w:t>
      </w:r>
      <w:r>
        <w:rPr>
          <w:rStyle w:val="cat-UserDefinedgrp-39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лицевой счет </w:t>
      </w:r>
      <w:r>
        <w:rPr>
          <w:rStyle w:val="cat-UserDefinedgrp-32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</w:t>
      </w:r>
      <w:r>
        <w:rPr>
          <w:rStyle w:val="cat-Addressgrp-1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3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3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4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UserDefinedgrp-40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КСР </w:t>
      </w:r>
      <w:r>
        <w:rPr>
          <w:rStyle w:val="cat-PhoneNumbergrp-35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район)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5rplc-5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23rplc-5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8rplc-0">
    <w:name w:val="cat-PhoneNumber grp-28 rplc-0"/>
    <w:basedOn w:val="DefaultParagraphFont"/>
  </w:style>
  <w:style w:type="character" w:customStyle="1" w:styleId="cat-PhoneNumbergrp-29rplc-1">
    <w:name w:val="cat-PhoneNumber grp-29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2rplc-5">
    <w:name w:val="cat-FIO grp-22 rplc-5"/>
    <w:basedOn w:val="DefaultParagraphFont"/>
  </w:style>
  <w:style w:type="character" w:customStyle="1" w:styleId="cat-UserDefinedgrp-36rplc-6">
    <w:name w:val="cat-UserDefined grp-3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41rplc-8">
    <w:name w:val="cat-UserDefined grp-41 rplc-8"/>
    <w:basedOn w:val="DefaultParagraphFont"/>
  </w:style>
  <w:style w:type="character" w:customStyle="1" w:styleId="cat-UserDefinedgrp-42rplc-9">
    <w:name w:val="cat-UserDefined grp-42 rplc-9"/>
    <w:basedOn w:val="DefaultParagraphFont"/>
  </w:style>
  <w:style w:type="character" w:customStyle="1" w:styleId="cat-UserDefinedgrp-43rplc-10">
    <w:name w:val="cat-UserDefined grp-43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Timegrp-27rplc-13">
    <w:name w:val="cat-Time grp-27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OrganizationNamegrp-26rplc-20">
    <w:name w:val="cat-OrganizationName grp-26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Dategrp-20rplc-25">
    <w:name w:val="cat-Date grp-20 rplc-25"/>
    <w:basedOn w:val="DefaultParagraphFont"/>
  </w:style>
  <w:style w:type="character" w:customStyle="1" w:styleId="cat-Dategrp-16rplc-26">
    <w:name w:val="cat-Date grp-16 rplc-26"/>
    <w:basedOn w:val="DefaultParagraphFont"/>
  </w:style>
  <w:style w:type="character" w:customStyle="1" w:styleId="cat-Dategrp-17rplc-27">
    <w:name w:val="cat-Date grp-17 rplc-27"/>
    <w:basedOn w:val="DefaultParagraphFont"/>
  </w:style>
  <w:style w:type="character" w:customStyle="1" w:styleId="cat-Dategrp-17rplc-28">
    <w:name w:val="cat-Date grp-17 rplc-28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Dategrp-18rplc-30">
    <w:name w:val="cat-Date grp-18 rplc-30"/>
    <w:basedOn w:val="DefaultParagraphFont"/>
  </w:style>
  <w:style w:type="character" w:customStyle="1" w:styleId="cat-Dategrp-19rplc-31">
    <w:name w:val="cat-Date grp-19 rplc-31"/>
    <w:basedOn w:val="DefaultParagraphFont"/>
  </w:style>
  <w:style w:type="character" w:customStyle="1" w:styleId="cat-Dategrp-21rplc-32">
    <w:name w:val="cat-Date grp-21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Dategrp-12rplc-36">
    <w:name w:val="cat-Date grp-12 rplc-36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Sumgrp-24rplc-38">
    <w:name w:val="cat-Sum grp-24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PhoneNumbergrp-30rplc-41">
    <w:name w:val="cat-PhoneNumber grp-30 rplc-41"/>
    <w:basedOn w:val="DefaultParagraphFont"/>
  </w:style>
  <w:style w:type="character" w:customStyle="1" w:styleId="cat-PhoneNumbergrp-31rplc-42">
    <w:name w:val="cat-PhoneNumber grp-31 rplc-42"/>
    <w:basedOn w:val="DefaultParagraphFont"/>
  </w:style>
  <w:style w:type="character" w:customStyle="1" w:styleId="cat-UserDefinedgrp-38rplc-43">
    <w:name w:val="cat-UserDefined grp-38 rplc-43"/>
    <w:basedOn w:val="DefaultParagraphFont"/>
  </w:style>
  <w:style w:type="character" w:customStyle="1" w:styleId="cat-UserDefinedgrp-39rplc-44">
    <w:name w:val="cat-UserDefined grp-39 rplc-44"/>
    <w:basedOn w:val="DefaultParagraphFont"/>
  </w:style>
  <w:style w:type="character" w:customStyle="1" w:styleId="cat-UserDefinedgrp-32rplc-45">
    <w:name w:val="cat-UserDefined grp-32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3rplc-47">
    <w:name w:val="cat-Address grp-3 rplc-47"/>
    <w:basedOn w:val="DefaultParagraphFont"/>
  </w:style>
  <w:style w:type="character" w:customStyle="1" w:styleId="cat-PhoneNumbergrp-33rplc-48">
    <w:name w:val="cat-PhoneNumber grp-33 rplc-48"/>
    <w:basedOn w:val="DefaultParagraphFont"/>
  </w:style>
  <w:style w:type="character" w:customStyle="1" w:styleId="cat-PhoneNumbergrp-34rplc-49">
    <w:name w:val="cat-PhoneNumber grp-34 rplc-49"/>
    <w:basedOn w:val="DefaultParagraphFont"/>
  </w:style>
  <w:style w:type="character" w:customStyle="1" w:styleId="cat-UserDefinedgrp-40rplc-50">
    <w:name w:val="cat-UserDefined grp-40 rplc-50"/>
    <w:basedOn w:val="DefaultParagraphFont"/>
  </w:style>
  <w:style w:type="character" w:customStyle="1" w:styleId="cat-PhoneNumbergrp-35rplc-51">
    <w:name w:val="cat-PhoneNumber grp-35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4rplc-53">
    <w:name w:val="cat-Address grp-4 rplc-53"/>
    <w:basedOn w:val="DefaultParagraphFont"/>
  </w:style>
  <w:style w:type="character" w:customStyle="1" w:styleId="cat-SumInWordsgrp-25rplc-54">
    <w:name w:val="cat-SumInWords grp-25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5rplc-57">
    <w:name w:val="cat-Address grp-5 rplc-57"/>
    <w:basedOn w:val="DefaultParagraphFont"/>
  </w:style>
  <w:style w:type="character" w:customStyle="1" w:styleId="cat-Addressgrp-6rplc-58">
    <w:name w:val="cat-Address grp-6 rplc-58"/>
    <w:basedOn w:val="DefaultParagraphFont"/>
  </w:style>
  <w:style w:type="character" w:customStyle="1" w:styleId="cat-FIOgrp-23rplc-59">
    <w:name w:val="cat-FIO grp-23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yperlink" Target="consultantplus://offline/ref=531656662180E53A1872FB2AD8D32736A688C843E525494E666CB0DC2F14AEB7FA866D7465F1j1tAP" TargetMode="External" /><Relationship Id="rId7" Type="http://schemas.openxmlformats.org/officeDocument/2006/relationships/hyperlink" Target="consultantplus://offline/ref=7A60936D353BF2D75238A5217036215732D43177E386FF5FBCC698DAD7E4A1D58A3CD296EB65kAs7P" TargetMode="External" /><Relationship Id="rId8" Type="http://schemas.openxmlformats.org/officeDocument/2006/relationships/hyperlink" Target="consultantplus://offline/ref=063B830A42CBB895710271A260917E44BC051D814C0EF43A878F97E7FA544443F49CC14BFCAEy7W0O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