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726E" w:rsidRPr="00BE5952" w:rsidP="00BE0918">
      <w:pPr>
        <w:jc w:val="right"/>
      </w:pPr>
      <w:r w:rsidRPr="00BE5952">
        <w:t>Дело № 5-67-119/2020</w:t>
      </w:r>
    </w:p>
    <w:p w:rsidR="0076726E" w:rsidRPr="00BE5952" w:rsidP="00BE0918">
      <w:pPr>
        <w:jc w:val="center"/>
        <w:rPr>
          <w:b/>
        </w:rPr>
      </w:pPr>
      <w:r w:rsidRPr="00BE5952">
        <w:rPr>
          <w:b/>
        </w:rPr>
        <w:t>Постановление</w:t>
      </w:r>
    </w:p>
    <w:p w:rsidR="0076726E" w:rsidRPr="00BE5952" w:rsidP="00BE0918">
      <w:pPr>
        <w:jc w:val="center"/>
        <w:rPr>
          <w:b/>
        </w:rPr>
      </w:pPr>
      <w:r w:rsidRPr="00BE5952">
        <w:rPr>
          <w:b/>
        </w:rPr>
        <w:t>по делу об административном правонарушении</w:t>
      </w:r>
    </w:p>
    <w:p w:rsidR="0076726E" w:rsidRPr="00BE5952" w:rsidP="00BE0918">
      <w:r w:rsidRPr="00BE5952">
        <w:t xml:space="preserve">         13 октября 2020 года</w:t>
      </w:r>
    </w:p>
    <w:p w:rsidR="0076726E" w:rsidRPr="00BE5952" w:rsidP="00BE0918">
      <w:pPr>
        <w:jc w:val="both"/>
      </w:pPr>
      <w:r w:rsidRPr="00BE5952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BE5952">
        <w:t>Джиджора</w:t>
      </w:r>
      <w:r w:rsidRPr="00BE5952"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BE5952">
        <w:t>пгт</w:t>
      </w:r>
      <w:r w:rsidRPr="00BE5952">
        <w:t xml:space="preserve">. </w:t>
      </w:r>
      <w:r w:rsidRPr="00BE5952">
        <w:t xml:space="preserve">Первомайское, ул. Кооперативная, 6, 296300,  рассмотрев материалы дела, поступившего из  Отдела ГИБДД ОМВД России по Первомайскому району о привлечении к административной ответственности </w:t>
      </w:r>
      <w:r w:rsidRPr="00BE5952">
        <w:rPr>
          <w:b/>
        </w:rPr>
        <w:t>Горболюка</w:t>
      </w:r>
      <w:r w:rsidRPr="00BE5952">
        <w:rPr>
          <w:b/>
        </w:rPr>
        <w:t xml:space="preserve"> К</w:t>
      </w:r>
      <w:r w:rsidR="00654714">
        <w:rPr>
          <w:b/>
        </w:rPr>
        <w:t>.</w:t>
      </w:r>
      <w:r w:rsidRPr="00BE5952">
        <w:rPr>
          <w:b/>
        </w:rPr>
        <w:t>П</w:t>
      </w:r>
      <w:r w:rsidR="00654714">
        <w:rPr>
          <w:b/>
        </w:rPr>
        <w:t>.</w:t>
      </w:r>
      <w:r w:rsidRPr="00BE5952">
        <w:rPr>
          <w:b/>
        </w:rPr>
        <w:t>,</w:t>
      </w:r>
      <w:r w:rsidRPr="00BE5952">
        <w:t xml:space="preserve"> </w:t>
      </w:r>
      <w:r w:rsidR="00654714">
        <w:t>«персональная информация»</w:t>
      </w:r>
      <w:r w:rsidRPr="00BE5952">
        <w:t xml:space="preserve">, о привлечении к административной ответственности  по  ч. 1 ст.12.26  </w:t>
      </w:r>
      <w:r w:rsidRPr="00BE5952">
        <w:t>КоАП</w:t>
      </w:r>
      <w:r w:rsidRPr="00BE5952">
        <w:t xml:space="preserve"> РФ, </w:t>
      </w:r>
    </w:p>
    <w:p w:rsidR="0076726E" w:rsidRPr="00BE5952" w:rsidP="00BE0918">
      <w:pPr>
        <w:jc w:val="center"/>
      </w:pPr>
    </w:p>
    <w:p w:rsidR="0076726E" w:rsidRPr="00BE5952" w:rsidP="00BE0918">
      <w:pPr>
        <w:jc w:val="center"/>
      </w:pPr>
      <w:r w:rsidRPr="00BE5952">
        <w:t>установил:</w:t>
      </w:r>
    </w:p>
    <w:p w:rsidR="0076726E" w:rsidRPr="00BE5952" w:rsidP="00BE0918">
      <w:pPr>
        <w:ind w:firstLine="709"/>
        <w:jc w:val="both"/>
      </w:pPr>
      <w:r w:rsidRPr="00BE5952">
        <w:t xml:space="preserve">Согласно с протоколом </w:t>
      </w:r>
      <w:r w:rsidRPr="00BE5952">
        <w:t>Горболюк</w:t>
      </w:r>
      <w:r w:rsidRPr="00BE5952">
        <w:t xml:space="preserve"> К.П. 18.01.2020 года в 11 часов 50 минут на ул. </w:t>
      </w:r>
      <w:r w:rsidR="00654714">
        <w:t>«изъято»</w:t>
      </w:r>
      <w:r w:rsidRPr="00BE5952">
        <w:t xml:space="preserve"> с. </w:t>
      </w:r>
      <w:r w:rsidR="00654714">
        <w:t>«изъято»</w:t>
      </w:r>
      <w:r w:rsidRPr="00BE5952">
        <w:t>, в нарушение требований п. 2.3.2 ПДД РФ, управлял транспортным средством  мотоблоком «Добрыня», принадлежащим ему на праве собственности, с признаками опьянения (запах алкоголя изо рта, резкое изменение окраски кожных покровов лица), в 12 часов 10 минут 18.01.2020 года не выполнил законного требования уполномоченного</w:t>
      </w:r>
      <w:r w:rsidRPr="00BE5952">
        <w:t xml:space="preserve"> должностного лица о прохождении медицинского освидетельствования на состояние опьянения.</w:t>
      </w:r>
    </w:p>
    <w:p w:rsidR="0076726E" w:rsidRPr="00BE5952" w:rsidP="00BE0918">
      <w:pPr>
        <w:jc w:val="both"/>
      </w:pPr>
      <w:r w:rsidRPr="00BE5952">
        <w:t xml:space="preserve">         В судебном заседании </w:t>
      </w:r>
      <w:r w:rsidRPr="00BE5952">
        <w:t>Горболюк</w:t>
      </w:r>
      <w:r w:rsidRPr="00BE5952">
        <w:t xml:space="preserve"> К.П.,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BE5952">
        <w:t>КоАП</w:t>
      </w:r>
      <w:r w:rsidRPr="00BE5952">
        <w:t xml:space="preserve"> РФ, а также положений ст. 51 Конституции РФ, отводов не заявлял, вину  признал, при этом пояснил, что ни пьяным, ни выпившим он не был.</w:t>
      </w:r>
    </w:p>
    <w:p w:rsidR="0076726E" w:rsidRPr="00BE5952" w:rsidP="00BE0918">
      <w:pPr>
        <w:jc w:val="both"/>
      </w:pPr>
      <w:r w:rsidRPr="00BE5952">
        <w:t xml:space="preserve">          Специалист Инспекции по надзору за техническим состоянием самоходных машин и других видов техники Республики Крым - консультант-главный государственный инжене</w:t>
      </w:r>
      <w:r w:rsidRPr="00BE5952">
        <w:t>р-</w:t>
      </w:r>
      <w:r w:rsidRPr="00BE5952">
        <w:t xml:space="preserve"> инспектор   отдела организации надзора, </w:t>
      </w:r>
      <w:r w:rsidRPr="00BE5952">
        <w:t>регистрационно</w:t>
      </w:r>
      <w:r w:rsidRPr="00BE5952">
        <w:t xml:space="preserve"> – экзаменационной работы управления государственного надзора за техническим состоянием самоходных машин и других видов техники   </w:t>
      </w:r>
      <w:r w:rsidR="00654714">
        <w:t>«ФИО1»</w:t>
      </w:r>
      <w:r w:rsidRPr="00BE5952">
        <w:rPr>
          <w:color w:val="000000"/>
        </w:rPr>
        <w:t xml:space="preserve">, допрошенный в качестве специалиста в судебном заседании пояснил, что из представленных материалов дела очевидно, что </w:t>
      </w:r>
      <w:r w:rsidRPr="00BE5952">
        <w:rPr>
          <w:color w:val="000000"/>
        </w:rPr>
        <w:t>Горболюк</w:t>
      </w:r>
      <w:r w:rsidRPr="00BE5952">
        <w:rPr>
          <w:color w:val="000000"/>
        </w:rPr>
        <w:t xml:space="preserve"> К.П. управлял мотоблоком, который относится  к механическим  самоходным одноосным  устройствам с двигателем, </w:t>
      </w:r>
      <w:r w:rsidRPr="00BE5952">
        <w:rPr>
          <w:color w:val="000000"/>
        </w:rPr>
        <w:t>используемый</w:t>
      </w:r>
      <w:r w:rsidRPr="00BE5952">
        <w:rPr>
          <w:color w:val="000000"/>
        </w:rPr>
        <w:t xml:space="preserve"> для выполнения </w:t>
      </w:r>
      <w:r w:rsidRPr="00BE5952">
        <w:rPr>
          <w:color w:val="000000"/>
        </w:rPr>
        <w:t>сельхозработ</w:t>
      </w:r>
      <w:r w:rsidRPr="00BE5952">
        <w:rPr>
          <w:color w:val="000000"/>
        </w:rPr>
        <w:t xml:space="preserve">, непредназначенный для  движения по дорогам общего пользования. По своим параметрам и техническим характеристикам, его нельзя отнести ни к категории трактор, ни к иной категории и как следствие он не подлежит государственной регистрации в органах </w:t>
      </w:r>
      <w:r w:rsidRPr="00BE5952">
        <w:rPr>
          <w:color w:val="000000"/>
        </w:rPr>
        <w:t>гостехнадзора</w:t>
      </w:r>
      <w:r w:rsidRPr="00BE5952">
        <w:rPr>
          <w:color w:val="000000"/>
        </w:rPr>
        <w:t xml:space="preserve">. Также, в настоящее время на управление мотоблоком не требуется соответствующего удостоверения, так как мотоблок не подпадает ни под одну из действующих категорий.   На вопрос судьи, специалист пояснил, что  присоединение  к  мотоблоку прицепа не  меняет  при этом его технических характеристик и </w:t>
      </w:r>
      <w:r w:rsidRPr="00BE5952">
        <w:rPr>
          <w:color w:val="000000"/>
        </w:rPr>
        <w:t>мотоблок</w:t>
      </w:r>
      <w:r w:rsidRPr="00BE5952">
        <w:rPr>
          <w:color w:val="000000"/>
        </w:rPr>
        <w:t xml:space="preserve"> как с прицепом, так и без него не подлежит регистрации  в органах </w:t>
      </w:r>
      <w:r w:rsidRPr="00BE5952">
        <w:rPr>
          <w:color w:val="000000"/>
        </w:rPr>
        <w:t>гостехнадзора</w:t>
      </w:r>
      <w:r w:rsidRPr="00BE5952">
        <w:rPr>
          <w:color w:val="000000"/>
        </w:rPr>
        <w:t xml:space="preserve"> ни в качестве трактора, ни в качестве иной самоходной техники  либо </w:t>
      </w:r>
      <w:r w:rsidRPr="00BE5952">
        <w:t xml:space="preserve"> автомототранспортного средства.</w:t>
      </w:r>
    </w:p>
    <w:p w:rsidR="0076726E" w:rsidRPr="00BE5952" w:rsidP="00BE0918">
      <w:pPr>
        <w:pStyle w:val="s3"/>
        <w:spacing w:before="0" w:beforeAutospacing="0" w:after="0" w:afterAutospacing="0"/>
        <w:jc w:val="both"/>
      </w:pPr>
      <w:r w:rsidRPr="00BE5952">
        <w:t xml:space="preserve">           Заслушав </w:t>
      </w:r>
      <w:r w:rsidRPr="00BE5952">
        <w:t>Горболюк</w:t>
      </w:r>
      <w:r w:rsidRPr="00BE5952">
        <w:t xml:space="preserve"> К.П., пояснения специалиста,   исследовав материалы дела, представленные доказательства,</w:t>
      </w:r>
      <w:r w:rsidRPr="00BE5952">
        <w:rPr>
          <w:rStyle w:val="apple-converted-space"/>
        </w:rPr>
        <w:t xml:space="preserve"> </w:t>
      </w:r>
      <w:r w:rsidRPr="00BE5952">
        <w:t xml:space="preserve">суд приходит к следующим выводам.     </w:t>
      </w:r>
    </w:p>
    <w:p w:rsidR="0076726E" w:rsidRPr="00BE5952" w:rsidP="00BE0918">
      <w:pPr>
        <w:ind w:firstLine="708"/>
        <w:jc w:val="both"/>
      </w:pPr>
      <w:r w:rsidRPr="00BE5952">
        <w:rPr>
          <w:rStyle w:val="10"/>
        </w:rPr>
        <w:t xml:space="preserve">В соответствии с </w:t>
      </w:r>
      <w:r w:rsidRPr="00BE5952">
        <w:rPr>
          <w:rStyle w:val="10"/>
        </w:rPr>
        <w:t>ч</w:t>
      </w:r>
      <w:r w:rsidRPr="00BE5952">
        <w:rPr>
          <w:rStyle w:val="10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6726E" w:rsidRPr="00BE5952" w:rsidP="00BE0918">
      <w:pPr>
        <w:jc w:val="both"/>
        <w:rPr>
          <w:rStyle w:val="10"/>
        </w:rPr>
      </w:pPr>
      <w:r w:rsidRPr="00BE5952">
        <w:rPr>
          <w:rStyle w:val="10"/>
        </w:rPr>
        <w:t xml:space="preserve">          В силу </w:t>
      </w:r>
      <w:r w:rsidRPr="00BE5952">
        <w:rPr>
          <w:rStyle w:val="10"/>
        </w:rPr>
        <w:t>ч</w:t>
      </w:r>
      <w:r w:rsidRPr="00BE5952">
        <w:rPr>
          <w:rStyle w:val="10"/>
        </w:rPr>
        <w:t xml:space="preserve">. 1 ст. 2.1 </w:t>
      </w:r>
      <w:r w:rsidRPr="00BE5952">
        <w:rPr>
          <w:rStyle w:val="10"/>
        </w:rPr>
        <w:t>КоАП</w:t>
      </w:r>
      <w:r w:rsidRPr="00BE5952">
        <w:rPr>
          <w:rStyle w:val="10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BE5952">
        <w:rPr>
          <w:rStyle w:val="10"/>
        </w:rPr>
        <w:t>КоАП</w:t>
      </w:r>
      <w:r w:rsidRPr="00BE5952">
        <w:rPr>
          <w:rStyle w:val="10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 w:line="216" w:lineRule="atLeast"/>
        <w:jc w:val="both"/>
      </w:pPr>
      <w:r w:rsidRPr="00BE5952"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BE5952">
        <w:t>постановления, а также выявление причин и условий, способствовавших совершению административных правонарушений (статья 24.1 Кодекса Российской Федерации об административных правонарушениях).</w:t>
      </w:r>
    </w:p>
    <w:p w:rsidR="0076726E" w:rsidRPr="00BE5952" w:rsidP="00BE0918">
      <w:pPr>
        <w:pStyle w:val="s1"/>
        <w:shd w:val="clear" w:color="auto" w:fill="FFFFFF"/>
        <w:spacing w:before="0" w:beforeAutospacing="0" w:after="0" w:afterAutospacing="0"/>
        <w:jc w:val="both"/>
      </w:pPr>
      <w:r w:rsidRPr="00BE5952">
        <w:t xml:space="preserve">           Вместе с тем </w:t>
      </w:r>
      <w:r w:rsidRPr="00BE5952">
        <w:t>исходя из положений </w:t>
      </w:r>
      <w:hyperlink r:id="rId4" w:anchor="/document/12125267/entry/1601" w:history="1">
        <w:r w:rsidRPr="00BE5952">
          <w:rPr>
            <w:rStyle w:val="Hyperlink"/>
            <w:color w:val="auto"/>
            <w:u w:val="none"/>
          </w:rPr>
          <w:t>части</w:t>
        </w:r>
        <w:r w:rsidRPr="00BE5952">
          <w:rPr>
            <w:rStyle w:val="Hyperlink"/>
            <w:color w:val="auto"/>
            <w:u w:val="none"/>
          </w:rPr>
          <w:t xml:space="preserve"> 1 статьи 1.6</w:t>
        </w:r>
      </w:hyperlink>
      <w:r w:rsidRPr="00BE5952">
        <w:t> 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 w:line="216" w:lineRule="atLeast"/>
        <w:jc w:val="both"/>
      </w:pPr>
      <w:r w:rsidRPr="00BE5952">
        <w:t xml:space="preserve">          </w:t>
      </w:r>
      <w:r w:rsidRPr="00BE5952">
        <w:t>Согласно статье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 w:line="216" w:lineRule="atLeast"/>
        <w:jc w:val="both"/>
        <w:rPr>
          <w:rStyle w:val="10"/>
        </w:rPr>
      </w:pPr>
      <w:r w:rsidRPr="00BE5952">
        <w:t xml:space="preserve">           </w:t>
      </w:r>
      <w:r w:rsidRPr="00BE5952">
        <w:t xml:space="preserve">Установление виновности предполагает доказывание вины лица в совершении противоправного действия (бездействия), что в силу ч. 1 ст. 26.2 </w:t>
      </w:r>
      <w:r w:rsidRPr="00BE5952">
        <w:t>КоАП</w:t>
      </w:r>
      <w:r w:rsidRPr="00BE5952">
        <w:t xml:space="preserve"> РФ осуществляется на основании данных, зафиксированных в протоколе об административном правонарушении, иных протоколах, предусмотренных </w:t>
      </w:r>
      <w:r w:rsidRPr="00BE5952">
        <w:t>КоАП</w:t>
      </w:r>
      <w:r w:rsidRPr="00BE5952">
        <w:t xml:space="preserve"> РФ, объяснениях лица, в отношении которого ведется производство по делу об административном правонарушении, показаниях свидетелей, а также на основании иных доказательств, предусмотренных ч. 2 ст. 26.2</w:t>
      </w:r>
      <w:r w:rsidRPr="00BE5952">
        <w:t xml:space="preserve"> </w:t>
      </w:r>
      <w:r w:rsidRPr="00BE5952">
        <w:t>КоАП</w:t>
      </w:r>
      <w:r w:rsidRPr="00BE5952">
        <w:t xml:space="preserve"> РФ.</w:t>
      </w:r>
      <w:r w:rsidRPr="00BE5952">
        <w:br/>
      </w:r>
      <w:r w:rsidRPr="00BE5952">
        <w:rPr>
          <w:rStyle w:val="10"/>
        </w:rPr>
        <w:t xml:space="preserve">          В соответствии с  п. 4 ст. 22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 w:line="216" w:lineRule="atLeast"/>
        <w:jc w:val="both"/>
      </w:pPr>
      <w:r w:rsidRPr="00BE5952">
        <w:t xml:space="preserve">           Исходя из положений </w:t>
      </w:r>
      <w:hyperlink r:id="rId5" w:anchor="/document/1305770/entry/27" w:history="1">
        <w:r w:rsidRPr="00BE5952">
          <w:rPr>
            <w:rStyle w:val="Hyperlink"/>
            <w:color w:val="auto"/>
            <w:u w:val="none"/>
          </w:rPr>
          <w:t>пункта 2.7</w:t>
        </w:r>
      </w:hyperlink>
      <w:r w:rsidRPr="00BE5952">
        <w:t xml:space="preserve"> ПДД РФ и диспозиции </w:t>
      </w:r>
      <w:hyperlink r:id="rId5" w:anchor="/document/12125267/entry/12801" w:history="1">
        <w:r w:rsidRPr="00BE5952">
          <w:rPr>
            <w:rStyle w:val="Hyperlink"/>
            <w:color w:val="auto"/>
            <w:u w:val="none"/>
          </w:rPr>
          <w:t>части 1 статьи 12.26</w:t>
        </w:r>
      </w:hyperlink>
      <w:r w:rsidRPr="00BE5952">
        <w:t xml:space="preserve"> Кодекса Российской Федерации об административных правонарушениях, субъектом административного правонарушения, предусмотренного данной нормой, является водитель.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 В соответствии с </w:t>
      </w:r>
      <w:hyperlink r:id="rId5" w:anchor="/document/1305770/entry/100012" w:history="1">
        <w:r w:rsidRPr="00BE5952">
          <w:rPr>
            <w:rStyle w:val="Hyperlink"/>
            <w:color w:val="auto"/>
            <w:u w:val="none"/>
          </w:rPr>
          <w:t>пунктом 1.2</w:t>
        </w:r>
      </w:hyperlink>
      <w:r w:rsidRPr="00BE5952">
        <w:t xml:space="preserve"> ПДД РФ, </w:t>
      </w:r>
      <w:hyperlink r:id="rId5" w:anchor="/document/10105643/entry/2" w:history="1">
        <w:r w:rsidRPr="00BE5952">
          <w:rPr>
            <w:rStyle w:val="Hyperlink"/>
            <w:color w:val="auto"/>
            <w:u w:val="none"/>
          </w:rPr>
          <w:t>статьей 2</w:t>
        </w:r>
      </w:hyperlink>
      <w:r w:rsidRPr="00BE5952">
        <w:t xml:space="preserve"> Федерального закона от 10 декабря 1995 года N 196-ФЗ "О безопасности дорожного движения" «водитель» - лицо, управляющее каким-либо транспортным средством (в том числе обучающее управлению транспортным средством); «транспортное средство» - устройство, предназначенное для перевозки по дорогам людей, грузов или оборудования, установленного на нем; «механическое  транспортное средство» - транспортное средство, приводимое в движение двигателем. Термин распространяется также на любые тракторы и самоходные машины.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</w:t>
      </w:r>
      <w:r w:rsidRPr="00BE5952">
        <w:t xml:space="preserve">При этом в силу примечания к </w:t>
      </w:r>
      <w:hyperlink r:id="rId5" w:anchor="/document/12125267/entry/121" w:history="1">
        <w:r w:rsidRPr="00BE5952">
          <w:rPr>
            <w:rStyle w:val="Hyperlink"/>
            <w:color w:val="auto"/>
            <w:u w:val="none"/>
          </w:rPr>
          <w:t>статье 12.1</w:t>
        </w:r>
      </w:hyperlink>
      <w:r w:rsidRPr="00BE5952">
        <w:t xml:space="preserve">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</w:t>
      </w:r>
      <w:r w:rsidRPr="00BE5952">
        <w:t xml:space="preserve">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 w:line="216" w:lineRule="atLeast"/>
        <w:jc w:val="both"/>
      </w:pPr>
      <w:r w:rsidRPr="00BE5952">
        <w:t xml:space="preserve">           Также согласно правовой позиции изложенной в п.2 Постановления Пленума </w:t>
      </w:r>
      <w:r w:rsidRPr="00BE5952">
        <w:t>ВС</w:t>
      </w:r>
      <w:r w:rsidRPr="00BE5952">
        <w:t xml:space="preserve"> РФ №20 от 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под транспортными средствами в главе 12 </w:t>
      </w:r>
      <w:r w:rsidRPr="00BE5952">
        <w:t>КоАП</w:t>
      </w:r>
      <w:r w:rsidRPr="00BE5952">
        <w:t xml:space="preserve"> РФ понимаются: подлежащие государственной регистрации автомототранспортные средства с рабочим объемом двигателя внутреннего сгорания более 50 </w:t>
      </w:r>
      <w:r w:rsidRPr="00BE5952">
        <w:t xml:space="preserve">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</w:t>
      </w:r>
      <w:r w:rsidRPr="00BE5952">
        <w:t>средства с максимальной мощностью электродвигателя более 4 киловатт и максимальной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</w:t>
      </w:r>
      <w:r w:rsidRPr="00BE5952">
        <w:t xml:space="preserve"> дорожного движения предоставляется специальное право (например, мопед).</w:t>
      </w:r>
    </w:p>
    <w:p w:rsidR="0076726E" w:rsidRPr="00BE5952" w:rsidP="00BE0918">
      <w:pPr>
        <w:autoSpaceDE w:val="0"/>
        <w:autoSpaceDN w:val="0"/>
        <w:adjustRightInd w:val="0"/>
        <w:jc w:val="both"/>
      </w:pPr>
      <w:r w:rsidRPr="00BE5952">
        <w:t xml:space="preserve">            При этом понятие транспортного средства, закрепленное в </w:t>
      </w:r>
      <w:hyperlink r:id="rId6" w:history="1">
        <w:r w:rsidRPr="00BE5952">
          <w:t>примечании</w:t>
        </w:r>
      </w:hyperlink>
      <w:r w:rsidRPr="00BE5952">
        <w:t xml:space="preserve"> к статье 12.1 </w:t>
      </w:r>
      <w:r w:rsidRPr="00BE5952">
        <w:t>КоАП</w:t>
      </w:r>
      <w:r w:rsidRPr="00BE5952">
        <w:t xml:space="preserve"> РФ, расширительному толкованию не подлежит. 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  В соответствии с техническими характеристиками мотоблока "Добрыня </w:t>
      </w:r>
      <w:r w:rsidRPr="00BE5952">
        <w:t>ТР</w:t>
      </w:r>
      <w:r w:rsidRPr="00BE5952">
        <w:t xml:space="preserve"> 099" его мощность составляет  11 л/с ( 8 </w:t>
      </w:r>
      <w:r w:rsidRPr="00BE5952">
        <w:t>кВТ</w:t>
      </w:r>
      <w:r w:rsidRPr="00BE5952">
        <w:t>), то есть превышает 4 киловатта, в то же время максимальная скорость составляет менее 50 километров в час (а именно,   12 километров в час).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 </w:t>
      </w:r>
      <w:r w:rsidRPr="00BE5952">
        <w:t xml:space="preserve">Согласно пункту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 "О </w:t>
      </w:r>
      <w:hyperlink r:id="rId5" w:anchor="/document/1305770/entry/1000" w:history="1">
        <w:r w:rsidRPr="00BE5952">
          <w:rPr>
            <w:rStyle w:val="Hyperlink"/>
            <w:color w:val="auto"/>
            <w:u w:val="none"/>
          </w:rPr>
          <w:t>Правилах</w:t>
        </w:r>
      </w:hyperlink>
      <w:r w:rsidRPr="00BE5952">
        <w:t xml:space="preserve"> дорожного движения", в Государственной инспекции безопасности дорожного движения Министерства внутренних дел Российской Федерации (далее также Государственная инспекция) или иных органах, определяемых Правительством Российской Федерации</w:t>
      </w:r>
      <w:r w:rsidRPr="00BE5952">
        <w:t>, должны быть зарегистрированы механические транспортные средства (кроме мопедов) и прицепы.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</w:t>
      </w:r>
      <w:r w:rsidRPr="00BE5952">
        <w:t xml:space="preserve">Государственная регистрация на территории Российской Федерации автомототранспортных средств, тракторов, самоходных дорожно-строительных и иных машин с рабочим объемом двигателя внутреннего сгорания более 50 кубических сантиметров или максимальной мощностью электродвигателя более 4 киловатт, а также прицепов к ним осуществляется в соответствии с </w:t>
      </w:r>
      <w:hyperlink r:id="rId5" w:anchor="/document/10101583/entry/0" w:history="1">
        <w:r w:rsidRPr="00BE5952">
          <w:rPr>
            <w:rStyle w:val="Hyperlink"/>
            <w:color w:val="auto"/>
            <w:u w:val="none"/>
          </w:rPr>
          <w:t>постановлением</w:t>
        </w:r>
      </w:hyperlink>
      <w:r w:rsidRPr="00BE5952">
        <w:t xml:space="preserve"> Правительства Российской Федерации от 12 августа 1994 года N 938 "О государственной регистрации автомототранспортных средств и других видов самоходной</w:t>
      </w:r>
      <w:r w:rsidRPr="00BE5952">
        <w:t xml:space="preserve"> техники на территории Российской Федерации".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</w:t>
      </w:r>
      <w:r w:rsidRPr="00BE5952">
        <w:t>Согласно пункту 2 данного постановления регистрацию автомототранспортных средств, имеющих максимальную конструктивную скорость более 50 км/час, и прицепов к ним, предназначенных для движения по автомобильным дорогам общего пользования, осуществляют подразделения Государственной инспекции, а тракторов, самоходных дорожно-строительных и иных машин и прицепов к ним, включая автомототранспортные средства, имеющие максимальную конструктивную скорость 50 км/час и менее, а также не предназначенные для</w:t>
      </w:r>
      <w:r w:rsidRPr="00BE5952">
        <w:t xml:space="preserve"> движения по автомобильным дорогам общего пользования, - органы государственного надзора за техническим состоянием самоходных машин и других видов техники в Российской Федерации (</w:t>
      </w:r>
      <w:r w:rsidRPr="00BE5952">
        <w:t>гостехнадзора</w:t>
      </w:r>
      <w:r w:rsidRPr="00BE5952">
        <w:t>).</w:t>
      </w:r>
    </w:p>
    <w:p w:rsidR="0076726E" w:rsidRPr="00BE5952" w:rsidP="00BE0918">
      <w:pPr>
        <w:autoSpaceDE w:val="0"/>
        <w:autoSpaceDN w:val="0"/>
        <w:adjustRightInd w:val="0"/>
        <w:jc w:val="both"/>
        <w:outlineLvl w:val="0"/>
      </w:pPr>
      <w:r w:rsidRPr="00BE5952">
        <w:t xml:space="preserve">          </w:t>
      </w:r>
      <w:r w:rsidRPr="00BE5952">
        <w:t>Единый порядок государственной регистрации тракторов, самоходных дорожно-строительных и иных машин и прицепов к ним, а также выдачи на машины государственных регистрационных знаков установлен Правилами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</w:t>
      </w:r>
      <w:r w:rsidRPr="00BE5952">
        <w:t>гостехнадзора</w:t>
      </w:r>
      <w:r w:rsidRPr="00BE5952">
        <w:t>), утвержденными Минсельхозпродом России 16 января 1995 года и</w:t>
      </w:r>
      <w:r w:rsidRPr="00BE5952">
        <w:t xml:space="preserve"> зарегистрированным в Минюсте России 27 января 1995 г. N 785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  </w:t>
      </w:r>
      <w:r w:rsidRPr="00BE5952">
        <w:t>В соответствии с пунктом 1.4 указанных Правил государственной регистрации, учету в соответствии с данными Правилами подлежат тракторы (кроме мотоблоков), самоходные дорожно-строительные, мелиоративные, сельскохозяйственные и другие машины с рабочим объемом двигателя внутреннего сгорания более 50 кубических сантиметров, не подлежащие регистрации в подразделениях Государственной автомобильной инспекции Министерства внутренних дел Российской Федерации, а также номерные агрегаты и прицепы (полуприцепы) этих машин.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Также суд не может </w:t>
      </w:r>
      <w:r w:rsidRPr="00BE5952">
        <w:t>согласиться с позицией</w:t>
      </w:r>
      <w:r w:rsidRPr="00BE5952">
        <w:t xml:space="preserve"> ОГИБДД по Первомайскому району, изложенной в рапорте от 10.07.2020 года, во исполнение определения мирового судьи </w:t>
      </w:r>
      <w:r w:rsidRPr="00BE5952">
        <w:t xml:space="preserve">судебного участка №67 от 24.03.2020 года, что мотоблоки решением Коллегии Евразийской экономической комиссии отнесены к тракторам.  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BE5952">
        <w:t>Так, решением Коллегии Евразийской экономической комиссии от 12.02.2019 г. № 25 «О классификации мотоблока (</w:t>
      </w:r>
      <w:r w:rsidRPr="00BE5952">
        <w:t>мотокультиватора</w:t>
      </w:r>
      <w:r w:rsidRPr="00BE5952">
        <w:t>) в соответствии с единой товарной номенклатурой внешнеэкономической деятельности Евразийского экономического союза» дано определение мотоблока (</w:t>
      </w:r>
      <w:r w:rsidRPr="00BE5952">
        <w:t>мотокультиватора</w:t>
      </w:r>
      <w:r w:rsidRPr="00BE5952">
        <w:t>) - это устройство с возможностью крепления навесного и (или) прицепного оборудования, управляемое рядом идущим водителем при помощи рулевого устройства в виде двух рукояток, с одной ведущей осью, двигателем внутреннего сгорания, конструктивные особенности</w:t>
      </w:r>
      <w:r w:rsidRPr="00BE5952">
        <w:t xml:space="preserve"> </w:t>
      </w:r>
      <w:r w:rsidRPr="00BE5952">
        <w:t>которого предусматривают возможность установки на ведущую ось рабочих органов (фрез) для обработки почвы или колес, имеющее тягово-сцепное устройство, и (или) приспособления для крепления навесного оборудования, и шкив или вал отбора мощности, в соответствии с Основными правилами интерпретации Товарной номенклатуры внешнеэкономической деятельности 1 и 6 классифицируется в субпозиции 8701 10 000 0 единой Товарной номенклатуры внешнеэкономической деятельности Евразийского экономического союза.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BE5952">
        <w:t>Согласно Решения</w:t>
      </w:r>
      <w:r w:rsidRPr="00BE5952">
        <w:t xml:space="preserve"> Совета Евразийской экономической комиссии от 16.07.2012 № 54 (ред. от 16.03.2020) 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союза» субпозиция 8701 10 000 0 - это тракторы одноосные.</w:t>
      </w:r>
    </w:p>
    <w:p w:rsidR="0076726E" w:rsidRPr="00BE5952" w:rsidP="00BE0918">
      <w:pPr>
        <w:pStyle w:val="Heading1"/>
        <w:shd w:val="clear" w:color="auto" w:fill="FFFFFF"/>
        <w:spacing w:before="0" w:beforeAutospacing="0" w:after="0" w:afterAutospacing="0" w:line="210" w:lineRule="atLeast"/>
        <w:jc w:val="both"/>
        <w:rPr>
          <w:b w:val="0"/>
          <w:sz w:val="24"/>
          <w:szCs w:val="24"/>
        </w:rPr>
      </w:pPr>
      <w:r w:rsidRPr="00BE5952">
        <w:rPr>
          <w:sz w:val="24"/>
          <w:szCs w:val="24"/>
        </w:rPr>
        <w:t xml:space="preserve">         </w:t>
      </w:r>
      <w:r w:rsidRPr="00BE5952">
        <w:rPr>
          <w:b w:val="0"/>
          <w:sz w:val="24"/>
          <w:szCs w:val="24"/>
        </w:rPr>
        <w:t xml:space="preserve">При этом суд отмечает, что  согласно ст.19  Таможенного кодекса Евразийского экономического союза (приложение N 1 к Договору о Таможенном кодексе Евразийского экономического союза)   Единая Товарная номенклатура внешнеэкономической деятельности Евразийского экономического союза (далее - Товарная номенклатура внешнеэкономической деятельности) является системой описания и кодирования товаров, которая используется для классификации товаров в целях применения мер </w:t>
      </w:r>
      <w:r w:rsidRPr="00BE5952">
        <w:rPr>
          <w:b w:val="0"/>
          <w:sz w:val="24"/>
          <w:szCs w:val="24"/>
        </w:rPr>
        <w:t>таможенно-тарифного</w:t>
      </w:r>
      <w:r w:rsidRPr="00BE5952">
        <w:rPr>
          <w:b w:val="0"/>
          <w:sz w:val="24"/>
          <w:szCs w:val="24"/>
        </w:rPr>
        <w:t xml:space="preserve"> регулирования, вывозных таможенных пошлин, запретов и ограничений</w:t>
      </w:r>
      <w:r w:rsidRPr="00BE5952">
        <w:rPr>
          <w:b w:val="0"/>
          <w:sz w:val="24"/>
          <w:szCs w:val="24"/>
        </w:rPr>
        <w:t xml:space="preserve">, мер защиты внутреннего рынка, ведения таможенной статистики. </w:t>
      </w:r>
    </w:p>
    <w:p w:rsidR="0076726E" w:rsidRPr="00BE5952" w:rsidP="00BE0918">
      <w:pPr>
        <w:shd w:val="clear" w:color="auto" w:fill="FFFFFF"/>
        <w:spacing w:line="252" w:lineRule="atLeast"/>
        <w:ind w:firstLine="540"/>
        <w:jc w:val="both"/>
      </w:pPr>
      <w:r w:rsidRPr="00BE5952">
        <w:t>Товарная номенклатура внешнеэкономической деятельности может использоваться в целях налогообложения товаров и в иных целях, предусмотренных международными договорами и актами, составляющими право Союза, и (или) законодательством государств-членов.</w:t>
      </w:r>
    </w:p>
    <w:p w:rsidR="0076726E" w:rsidRPr="00BE5952" w:rsidP="00BE0918">
      <w:pPr>
        <w:shd w:val="clear" w:color="auto" w:fill="FFFFFF"/>
        <w:spacing w:line="252" w:lineRule="atLeast"/>
        <w:ind w:firstLine="540"/>
        <w:jc w:val="both"/>
        <w:rPr>
          <w:b/>
        </w:rPr>
      </w:pPr>
      <w:r w:rsidRPr="00BE5952">
        <w:t xml:space="preserve">Таким образом, Решение Совета Евразийской экономической комиссии, в части включения  мотоблоков в  субпозицию 8701 10 000 0 -  тракторы одноосные, было  принято с целью  регулирования  вопроса  классификации мотоблоков  в сфере таможенных отношений.  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BE5952">
        <w:t>Кроме того, согласно статьи 2 Технического регламента Таможенного союза «О безопасности сельскохозяйственных и лесохозяйственных тракторов и при цепов к ним» (</w:t>
      </w:r>
      <w:r w:rsidRPr="00BE5952">
        <w:t>ТР</w:t>
      </w:r>
      <w:r w:rsidRPr="00BE5952">
        <w:t xml:space="preserve"> ТС 031/2012), трактор - это колесное или гусеничное механическое транспортное средство, имеющее не менее двух осей и максимальную скорость не менее 6 км/ч, использующее преимущественно тяговое усилие и предназначенное в основном для буксирования, толкания, транспортирования или приведения в действие рабочего оборудования, применяемое в сельском или лесном хозяйстве, в то время как  мотоблок   - это устройство с   одной ведущей осью.  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Также судья приходит к выводу, что  на управление мотоблоком лицу не требуется соответствующее удостоверение, исходя из следующего.       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Порядок допуска граждан к управлению самоходными машинами и выдачи удостоверений тракториста-машиниста (тракториста) органами </w:t>
      </w:r>
      <w:r w:rsidRPr="00BE5952">
        <w:t>гостехнадзора</w:t>
      </w:r>
      <w:r w:rsidRPr="00BE5952">
        <w:t xml:space="preserve"> установлен </w:t>
      </w:r>
      <w:hyperlink r:id="rId5" w:anchor="/document/12116290/entry/1000" w:history="1">
        <w:r w:rsidRPr="00BE5952">
          <w:rPr>
            <w:rStyle w:val="Hyperlink"/>
            <w:color w:val="auto"/>
            <w:u w:val="none"/>
          </w:rPr>
          <w:t>Правилами</w:t>
        </w:r>
      </w:hyperlink>
      <w:r w:rsidRPr="00BE5952">
        <w:t xml:space="preserve"> допуска к управлению самоходными машинами и выдачи удостоверений тракториста-машиниста (тракториста), утвержденными </w:t>
      </w:r>
      <w:hyperlink r:id="rId5" w:anchor="/document/12116290/entry/0" w:history="1">
        <w:r w:rsidRPr="00BE5952">
          <w:rPr>
            <w:rStyle w:val="Hyperlink"/>
            <w:color w:val="auto"/>
            <w:u w:val="none"/>
          </w:rPr>
          <w:t>постановлением</w:t>
        </w:r>
      </w:hyperlink>
      <w:r w:rsidRPr="00BE5952">
        <w:t xml:space="preserve"> Правительства Российской Федерации от 12 июля 1999 года N 796.</w:t>
      </w:r>
    </w:p>
    <w:p w:rsidR="0076726E" w:rsidRPr="00BE5952" w:rsidP="00BE0918">
      <w:pPr>
        <w:pStyle w:val="s1"/>
        <w:spacing w:before="0" w:beforeAutospacing="0" w:after="0" w:afterAutospacing="0"/>
        <w:jc w:val="both"/>
      </w:pPr>
      <w:r w:rsidRPr="00BE5952">
        <w:t xml:space="preserve">          </w:t>
      </w:r>
      <w:r w:rsidRPr="00BE5952">
        <w:t xml:space="preserve">Согласно Инструкции о порядке применения Правил допуска к управлению самоходными машинами и выдачи удостоверений тракториста-машиниста (тракториста), утвержденной </w:t>
      </w:r>
      <w:hyperlink r:id="rId5" w:anchor="/document/12118263/entry/0" w:history="1">
        <w:r w:rsidRPr="00BE5952">
          <w:rPr>
            <w:rStyle w:val="Hyperlink"/>
            <w:color w:val="auto"/>
            <w:u w:val="none"/>
          </w:rPr>
          <w:t>Приказом</w:t>
        </w:r>
      </w:hyperlink>
      <w:r w:rsidRPr="00BE5952">
        <w:t xml:space="preserve"> Минсельхозпрода России от 29 ноября 1999 года N 807, и </w:t>
      </w:r>
      <w:r w:rsidRPr="00BE5952">
        <w:t xml:space="preserve">разработанной в целях  реализации </w:t>
      </w:r>
      <w:hyperlink r:id="rId5" w:anchor="/document/12116290/entry/0" w:history="1">
        <w:r w:rsidRPr="00BE5952">
          <w:rPr>
            <w:rStyle w:val="Hyperlink"/>
            <w:color w:val="auto"/>
            <w:u w:val="none"/>
          </w:rPr>
          <w:t>постановления</w:t>
        </w:r>
      </w:hyperlink>
      <w:r w:rsidRPr="00BE5952">
        <w:t xml:space="preserve"> Правительства Российской Федерации от 12 июля 1999 г. N 796 "Об утверждении Правил допуска к управлению самоходными машинами и выдачи удостоверений тракториста-машиниста (тракториста)" под самоходными машинами понимаются</w:t>
      </w:r>
      <w:r w:rsidRPr="00BE5952">
        <w:t xml:space="preserve"> </w:t>
      </w:r>
      <w:r w:rsidRPr="00BE5952">
        <w:t>мототранспортные</w:t>
      </w:r>
      <w:r w:rsidRPr="00BE5952">
        <w:t xml:space="preserve"> средства, не предназначенные для движения по дорогам общего пользования (</w:t>
      </w:r>
      <w:r w:rsidRPr="00BE5952">
        <w:t>внедорожные</w:t>
      </w:r>
      <w:r w:rsidRPr="00BE5952">
        <w:t xml:space="preserve"> </w:t>
      </w:r>
      <w:r w:rsidRPr="00BE5952">
        <w:t>мотосредства</w:t>
      </w:r>
      <w:r w:rsidRPr="00BE5952">
        <w:t xml:space="preserve">), тракторы (кроме мотоблоков), самоходные дорожно-строительные и иные машины с рабочим объемом двигателя внутреннего сгорания более 50 кубических сантиметров, не </w:t>
      </w:r>
      <w:r w:rsidRPr="00BE5952">
        <w:t>относящееся</w:t>
      </w:r>
      <w:r w:rsidRPr="00BE5952">
        <w:t xml:space="preserve"> к автомототранспортным средствам.</w:t>
      </w:r>
    </w:p>
    <w:p w:rsidR="0076726E" w:rsidRPr="00BE5952" w:rsidP="00BE0918">
      <w:pPr>
        <w:pStyle w:val="NormalWeb"/>
        <w:shd w:val="clear" w:color="auto" w:fill="FFFFFF"/>
        <w:spacing w:before="0" w:beforeAutospacing="0" w:after="0" w:afterAutospacing="0" w:line="216" w:lineRule="atLeast"/>
        <w:jc w:val="both"/>
      </w:pPr>
      <w:r w:rsidRPr="00BE5952">
        <w:t xml:space="preserve">          </w:t>
      </w:r>
      <w:r w:rsidRPr="00BE5952">
        <w:rPr>
          <w:shd w:val="clear" w:color="auto" w:fill="FFFFFF"/>
        </w:rPr>
        <w:t xml:space="preserve">Согласно указанной Инструкции   к управлению самоходными машинами допускаются граждане, сдавшие теоретические и (или) </w:t>
      </w:r>
      <w:r w:rsidRPr="00BE5952">
        <w:rPr>
          <w:shd w:val="clear" w:color="auto" w:fill="FFFFFF"/>
        </w:rPr>
        <w:t>практический</w:t>
      </w:r>
      <w:r w:rsidRPr="00BE5952">
        <w:rPr>
          <w:shd w:val="clear" w:color="auto" w:fill="FFFFFF"/>
        </w:rPr>
        <w:t xml:space="preserve"> экзамены в порядке, установленном Правилами, указанными в п. 1, и настоящей Инструкцией.</w:t>
      </w:r>
      <w:r w:rsidRPr="00BE5952">
        <w:br/>
      </w:r>
      <w:r w:rsidRPr="00BE5952">
        <w:rPr>
          <w:shd w:val="clear" w:color="auto" w:fill="FFFFFF"/>
        </w:rPr>
        <w:t xml:space="preserve">         В связи с тем, что  мотоблок не относится к самоходным машинам сдача теоретических и (или) практических экзаменов с целью допуска к </w:t>
      </w:r>
      <w:r w:rsidRPr="00BE5952">
        <w:rPr>
          <w:shd w:val="clear" w:color="auto" w:fill="FFFFFF"/>
        </w:rPr>
        <w:t>его управлению, действующим законодательством не предусмотрена</w:t>
      </w:r>
      <w:r w:rsidRPr="00BE5952">
        <w:rPr>
          <w:shd w:val="clear" w:color="auto" w:fill="FFFFFF"/>
        </w:rPr>
        <w:t>.</w:t>
      </w:r>
      <w:r w:rsidRPr="00BE5952">
        <w:br/>
        <w:t xml:space="preserve">           Таким образом, к транспортным средствам, подлежащим государственной регистрации, мотоблок не относится, самоходной машиной, на управление которой предоставляется специальное право, не является и, исходя из понятия, сформулированного в примечании к </w:t>
      </w:r>
      <w:hyperlink r:id="rId5" w:anchor="/document/12125267/entry/121" w:history="1">
        <w:r w:rsidRPr="00BE5952">
          <w:rPr>
            <w:rStyle w:val="Hyperlink"/>
            <w:color w:val="auto"/>
            <w:u w:val="none"/>
          </w:rPr>
          <w:t>статье 12.1</w:t>
        </w:r>
      </w:hyperlink>
      <w:r w:rsidRPr="00BE5952">
        <w:t xml:space="preserve"> Кодекса Российской Федерации об административных правонарушениях, применительно к другим статьям главы 12 названного </w:t>
      </w:r>
      <w:hyperlink r:id="rId5" w:anchor="/document/12125267/entry/0" w:history="1">
        <w:r w:rsidRPr="00BE5952">
          <w:rPr>
            <w:rStyle w:val="Hyperlink"/>
            <w:color w:val="auto"/>
            <w:u w:val="none"/>
          </w:rPr>
          <w:t>Кодекса</w:t>
        </w:r>
      </w:hyperlink>
      <w:r w:rsidRPr="00BE5952">
        <w:t xml:space="preserve">, транспортным средством признан </w:t>
      </w:r>
      <w:r w:rsidRPr="00BE5952">
        <w:t>быть</w:t>
      </w:r>
      <w:r w:rsidRPr="00BE5952">
        <w:t xml:space="preserve"> не может.</w:t>
      </w:r>
    </w:p>
    <w:p w:rsidR="0076726E" w:rsidRPr="00BE5952" w:rsidP="00BE0918">
      <w:pPr>
        <w:jc w:val="both"/>
        <w:rPr>
          <w:rStyle w:val="10"/>
        </w:rPr>
      </w:pPr>
      <w:r w:rsidRPr="00BE5952">
        <w:t xml:space="preserve">           Таким образом, </w:t>
      </w:r>
      <w:r w:rsidRPr="00BE5952">
        <w:t>Горболюк</w:t>
      </w:r>
      <w:r w:rsidRPr="00BE5952">
        <w:t xml:space="preserve"> К.П., управляя мотоблоком, не являлся водителем транспортного средства, исходя из понятий действующего законодательства и, соответственно, субъектом административного правонарушения, предусмотренного частью 1 статьи 12.26 Кодекса Российской Федерации об административных правонарушениях.   </w:t>
      </w:r>
    </w:p>
    <w:p w:rsidR="0076726E" w:rsidRPr="00BE5952" w:rsidP="00BE0918">
      <w:pPr>
        <w:jc w:val="both"/>
        <w:rPr>
          <w:shd w:val="clear" w:color="auto" w:fill="FFFFFF"/>
        </w:rPr>
      </w:pPr>
      <w:r w:rsidRPr="00BE5952">
        <w:rPr>
          <w:shd w:val="clear" w:color="auto" w:fill="FFFFFF"/>
        </w:rPr>
        <w:t xml:space="preserve">           </w:t>
      </w:r>
      <w:r w:rsidRPr="00BE5952">
        <w:rPr>
          <w:shd w:val="clear" w:color="auto" w:fill="FFFFFF"/>
        </w:rPr>
        <w:t xml:space="preserve">Вместе с тем, инспектор ДПС, возбуждая в отношении  </w:t>
      </w:r>
      <w:r w:rsidRPr="00BE5952">
        <w:t>Горболюк</w:t>
      </w:r>
      <w:r w:rsidRPr="00BE5952">
        <w:t xml:space="preserve"> К.П. </w:t>
      </w:r>
      <w:r w:rsidRPr="00BE5952">
        <w:rPr>
          <w:shd w:val="clear" w:color="auto" w:fill="FFFFFF"/>
        </w:rPr>
        <w:t>дело об административном правонарушении, предусмотренном ч. 1 ст.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1. Управление транспортным средством, не зарегистрированным в установленном порядке, транспортным средством, не прошедшим государственного т" w:history="1">
        <w:r w:rsidRPr="00BE5952">
          <w:rPr>
            <w:rStyle w:val="Hyperlink"/>
            <w:color w:val="auto"/>
            <w:u w:val="none"/>
            <w:bdr w:val="none" w:sz="0" w:space="0" w:color="auto" w:frame="1"/>
          </w:rPr>
          <w:t>12</w:t>
        </w:r>
      </w:hyperlink>
      <w:r w:rsidRPr="00BE5952">
        <w:rPr>
          <w:shd w:val="clear" w:color="auto" w:fill="FFFFFF"/>
        </w:rPr>
        <w:t>.26</w:t>
      </w:r>
      <w:hyperlink r:id="rId8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1. Несоблюдение экологических требований при осуществлении градостроительной деятельности и эксплуатации предприятий" w:history="1">
        <w:r w:rsidRPr="00BE5952">
          <w:rPr>
            <w:rStyle w:val="Hyperlink"/>
            <w:color w:val="auto"/>
            <w:u w:val="none"/>
            <w:bdr w:val="none" w:sz="0" w:space="0" w:color="auto" w:frame="1"/>
          </w:rPr>
          <w:t xml:space="preserve"> КОАП</w:t>
        </w:r>
      </w:hyperlink>
      <w:r w:rsidRPr="00BE5952">
        <w:rPr>
          <w:shd w:val="clear" w:color="auto" w:fill="FFFFFF"/>
        </w:rPr>
        <w:t xml:space="preserve"> РФ, не исследовал вопрос о технических характеристиках мотоблока, которым управлял  </w:t>
      </w:r>
      <w:r w:rsidRPr="00BE5952">
        <w:t>Горболюк</w:t>
      </w:r>
      <w:r w:rsidRPr="00BE5952">
        <w:t xml:space="preserve"> К.П., является ли он транспортным средством </w:t>
      </w:r>
      <w:r w:rsidRPr="00BE5952">
        <w:rPr>
          <w:shd w:val="clear" w:color="auto" w:fill="FFFFFF"/>
        </w:rPr>
        <w:t>и не представил суду доказательств о том, что по своим параметрам   он соответствует закрепленному в законе понятию «Транспортное средство».</w:t>
      </w:r>
    </w:p>
    <w:p w:rsidR="0076726E" w:rsidRPr="00BE5952" w:rsidP="00BE0918">
      <w:pPr>
        <w:autoSpaceDE w:val="0"/>
        <w:autoSpaceDN w:val="0"/>
        <w:adjustRightInd w:val="0"/>
        <w:ind w:firstLine="540"/>
        <w:jc w:val="both"/>
      </w:pPr>
      <w:r w:rsidRPr="00BE5952">
        <w:t xml:space="preserve">В силу </w:t>
      </w:r>
      <w:hyperlink r:id="rId9" w:history="1">
        <w:r w:rsidRPr="00BE5952">
          <w:t>частей 1</w:t>
        </w:r>
      </w:hyperlink>
      <w:r w:rsidRPr="00BE5952">
        <w:t xml:space="preserve">, </w:t>
      </w:r>
      <w:hyperlink r:id="rId10" w:history="1">
        <w:r w:rsidRPr="00BE5952">
          <w:t>3 и 4 статьи 1.5</w:t>
        </w:r>
      </w:hyperlink>
      <w:r w:rsidRPr="00BE5952"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1" w:history="1">
        <w:r w:rsidRPr="00BE5952">
          <w:t>примечанием</w:t>
        </w:r>
      </w:hyperlink>
      <w:r w:rsidRPr="00BE5952">
        <w:t xml:space="preserve"> к данной статье.</w:t>
      </w:r>
      <w:r w:rsidRPr="00BE5952">
        <w:rPr>
          <w:shd w:val="clear" w:color="auto" w:fill="FFFFFF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</w:t>
      </w:r>
      <w:r w:rsidRPr="00BE5952">
        <w:br/>
      </w:r>
      <w:r w:rsidRPr="00BE5952">
        <w:rPr>
          <w:shd w:val="clear" w:color="auto" w:fill="FFFFFF"/>
        </w:rPr>
        <w:t xml:space="preserve">          Исходя из изложенного, суд приходит к выводу, что в действиях </w:t>
      </w:r>
      <w:r w:rsidRPr="00BE5952">
        <w:t>Горболюк</w:t>
      </w:r>
      <w:r w:rsidRPr="00BE5952">
        <w:t xml:space="preserve"> К.П. </w:t>
      </w:r>
      <w:r w:rsidRPr="00BE5952">
        <w:rPr>
          <w:shd w:val="clear" w:color="auto" w:fill="FFFFFF"/>
        </w:rPr>
        <w:t xml:space="preserve"> состав административного правонарушения, предусмотренного </w:t>
      </w:r>
      <w:r w:rsidRPr="00BE5952">
        <w:rPr>
          <w:shd w:val="clear" w:color="auto" w:fill="FFFFFF"/>
        </w:rPr>
        <w:t>ч</w:t>
      </w:r>
      <w:r w:rsidRPr="00BE5952">
        <w:rPr>
          <w:shd w:val="clear" w:color="auto" w:fill="FFFFFF"/>
        </w:rPr>
        <w:t>. 1 ст. 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E5952">
          <w:rPr>
            <w:rStyle w:val="Hyperlink"/>
            <w:color w:val="auto"/>
            <w:u w:val="none"/>
            <w:bdr w:val="none" w:sz="0" w:space="0" w:color="auto" w:frame="1"/>
          </w:rPr>
          <w:t xml:space="preserve">12.26 </w:t>
        </w:r>
        <w:r w:rsidRPr="00BE5952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BE5952">
        <w:rPr>
          <w:shd w:val="clear" w:color="auto" w:fill="FFFFFF"/>
        </w:rPr>
        <w:t> РФ отсутствует.</w:t>
      </w:r>
    </w:p>
    <w:p w:rsidR="0076726E" w:rsidRPr="00BE5952" w:rsidP="00BE0918">
      <w:pPr>
        <w:jc w:val="both"/>
      </w:pPr>
      <w:r w:rsidRPr="00BE5952">
        <w:rPr>
          <w:shd w:val="clear" w:color="auto" w:fill="FFFFFF"/>
        </w:rPr>
        <w:t xml:space="preserve">           </w:t>
      </w:r>
      <w:r w:rsidRPr="00BE5952">
        <w:t xml:space="preserve">В силу п. 2 ст. 24.5 </w:t>
      </w:r>
      <w:r w:rsidRPr="00BE5952">
        <w:t>КоАП</w:t>
      </w:r>
      <w:r w:rsidRPr="00BE5952">
        <w:t xml:space="preserve">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</w:t>
      </w:r>
    </w:p>
    <w:p w:rsidR="0076726E" w:rsidRPr="00BE5952" w:rsidP="00BE0918">
      <w:pPr>
        <w:jc w:val="both"/>
      </w:pPr>
      <w:r w:rsidRPr="00BE5952">
        <w:rPr>
          <w:shd w:val="clear" w:color="auto" w:fill="FFFFFF"/>
        </w:rPr>
        <w:t xml:space="preserve">           </w:t>
      </w:r>
      <w:r w:rsidRPr="00BE5952">
        <w:t xml:space="preserve">При таких обстоятельствах    производство по делу об административном правонарушении подлежит прекращению на основании </w:t>
      </w:r>
      <w:hyperlink r:id="rId13" w:history="1">
        <w:r w:rsidRPr="00BE5952">
          <w:t>п. 2 ч. 1 ст. 24.5</w:t>
        </w:r>
      </w:hyperlink>
      <w:r w:rsidRPr="00BE5952">
        <w:t xml:space="preserve"> </w:t>
      </w:r>
      <w:r w:rsidRPr="00BE5952">
        <w:t>КоАП</w:t>
      </w:r>
      <w:r w:rsidRPr="00BE5952">
        <w:t xml:space="preserve"> РФ в связи с отсутствием состава административного правонарушения.</w:t>
      </w:r>
    </w:p>
    <w:p w:rsidR="0076726E" w:rsidRPr="00BE5952" w:rsidP="00BE0918">
      <w:pPr>
        <w:jc w:val="both"/>
        <w:rPr>
          <w:shd w:val="clear" w:color="auto" w:fill="FFFFFF"/>
        </w:rPr>
      </w:pPr>
      <w:r w:rsidRPr="00BE5952">
        <w:rPr>
          <w:shd w:val="clear" w:color="auto" w:fill="FFFFFF"/>
        </w:rPr>
        <w:t xml:space="preserve">           На основании </w:t>
      </w:r>
      <w:r w:rsidRPr="00BE5952">
        <w:rPr>
          <w:shd w:val="clear" w:color="auto" w:fill="FFFFFF"/>
        </w:rPr>
        <w:t>изложенного</w:t>
      </w:r>
      <w:r w:rsidRPr="00BE5952">
        <w:rPr>
          <w:shd w:val="clear" w:color="auto" w:fill="FFFFFF"/>
        </w:rPr>
        <w:t xml:space="preserve"> и руководствуясь ст. ст. </w:t>
      </w:r>
      <w:hyperlink r:id="rId14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E5952">
          <w:rPr>
            <w:rStyle w:val="Hyperlink"/>
            <w:color w:val="auto"/>
            <w:u w:val="none"/>
            <w:bdr w:val="none" w:sz="0" w:space="0" w:color="auto" w:frame="1"/>
          </w:rPr>
          <w:t>24.5</w:t>
        </w:r>
      </w:hyperlink>
      <w:r w:rsidRPr="00BE5952">
        <w:rPr>
          <w:shd w:val="clear" w:color="auto" w:fill="FFFFFF"/>
        </w:rPr>
        <w:t>, 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E5952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BE5952">
        <w:rPr>
          <w:shd w:val="clear" w:color="auto" w:fill="FFFFFF"/>
        </w:rPr>
        <w:t> РФ, мировой судья</w:t>
      </w:r>
    </w:p>
    <w:p w:rsidR="0076726E" w:rsidRPr="00BE5952" w:rsidP="00BE0918">
      <w:pPr>
        <w:jc w:val="both"/>
      </w:pPr>
      <w:r w:rsidRPr="00BE5952">
        <w:t xml:space="preserve"> </w:t>
      </w:r>
    </w:p>
    <w:p w:rsidR="0076726E" w:rsidRPr="00BE5952" w:rsidP="00BE0918">
      <w:pPr>
        <w:spacing w:line="234" w:lineRule="atLeast"/>
        <w:jc w:val="center"/>
      </w:pPr>
      <w:r w:rsidRPr="00BE5952">
        <w:rPr>
          <w:b/>
          <w:bCs/>
          <w:bdr w:val="none" w:sz="0" w:space="0" w:color="auto" w:frame="1"/>
        </w:rPr>
        <w:t>ПОСТАНОВИЛ</w:t>
      </w:r>
      <w:r w:rsidRPr="00BE5952">
        <w:rPr>
          <w:b/>
          <w:bCs/>
          <w:bdr w:val="none" w:sz="0" w:space="0" w:color="auto" w:frame="1"/>
        </w:rPr>
        <w:t xml:space="preserve"> :</w:t>
      </w:r>
    </w:p>
    <w:p w:rsidR="0076726E" w:rsidRPr="00BE5952" w:rsidP="00BE0918">
      <w:pPr>
        <w:jc w:val="both"/>
      </w:pPr>
      <w:r w:rsidRPr="00BE5952">
        <w:t xml:space="preserve">          Производство по делу об административном правонарушении в отношении </w:t>
      </w:r>
      <w:r w:rsidRPr="00BE5952">
        <w:t>Горболюк</w:t>
      </w:r>
      <w:r w:rsidRPr="00BE5952">
        <w:t xml:space="preserve">  К</w:t>
      </w:r>
      <w:r w:rsidR="00654714">
        <w:t>.</w:t>
      </w:r>
      <w:r w:rsidRPr="00BE5952">
        <w:t>П</w:t>
      </w:r>
      <w:r w:rsidR="00654714">
        <w:t>.</w:t>
      </w:r>
      <w:r w:rsidRPr="00BE5952">
        <w:t xml:space="preserve">   о привлечении к административной ответственности по </w:t>
      </w:r>
      <w:r w:rsidRPr="00BE5952">
        <w:t>ч</w:t>
      </w:r>
      <w:r w:rsidRPr="00BE5952">
        <w:t xml:space="preserve">. 1 ст. 12.26 </w:t>
      </w:r>
      <w:r w:rsidRPr="00BE5952">
        <w:t>КоАП</w:t>
      </w:r>
      <w:r w:rsidRPr="00BE5952">
        <w:t xml:space="preserve"> РФ прекратить на основании </w:t>
      </w:r>
      <w:hyperlink r:id="rId5" w:anchor="/document/12125267/entry/24502" w:history="1">
        <w:r w:rsidRPr="00BE5952">
          <w:rPr>
            <w:rStyle w:val="Hyperlink"/>
            <w:color w:val="auto"/>
            <w:u w:val="none"/>
          </w:rPr>
          <w:t>пункта 2 части 1 статьи 24.5</w:t>
        </w:r>
      </w:hyperlink>
      <w:r w:rsidRPr="00BE5952">
        <w:t xml:space="preserve"> Кодекса Российской Федерации об административных правонарушениях.</w:t>
      </w:r>
    </w:p>
    <w:p w:rsidR="0076726E" w:rsidRPr="00BE5952" w:rsidP="00BE0918">
      <w:pPr>
        <w:spacing w:line="240" w:lineRule="atLeast"/>
        <w:jc w:val="both"/>
        <w:rPr>
          <w:shd w:val="clear" w:color="auto" w:fill="FFFFFF"/>
        </w:rPr>
      </w:pPr>
      <w:r w:rsidRPr="00BE5952"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76726E" w:rsidRPr="00BE5952" w:rsidP="00654714">
      <w:pPr>
        <w:ind w:firstLine="708"/>
        <w:jc w:val="both"/>
      </w:pPr>
      <w:r w:rsidRPr="00BE5952">
        <w:t xml:space="preserve">Мировой судья </w:t>
      </w:r>
    </w:p>
    <w:p w:rsidR="0076726E" w:rsidRPr="00BD6BE4" w:rsidP="00F34A07">
      <w:pPr>
        <w:jc w:val="both"/>
        <w:rPr>
          <w:sz w:val="28"/>
          <w:szCs w:val="28"/>
          <w:shd w:val="clear" w:color="auto" w:fill="FFFFFF"/>
        </w:rPr>
      </w:pPr>
    </w:p>
    <w:p w:rsidR="0076726E" w:rsidRPr="00BD6BE4" w:rsidP="00F34A07">
      <w:pPr>
        <w:jc w:val="both"/>
        <w:rPr>
          <w:sz w:val="28"/>
          <w:szCs w:val="28"/>
          <w:shd w:val="clear" w:color="auto" w:fill="FFFFFF"/>
        </w:rPr>
      </w:pPr>
    </w:p>
    <w:p w:rsidR="0076726E" w:rsidRPr="005047B9" w:rsidP="00BE0918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26E" w:rsidRPr="00BD6BE4" w:rsidP="00F34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6726E" w:rsidRPr="00BD6BE4" w:rsidP="00F34A0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6726E" w:rsidRPr="00D107E1" w:rsidP="00F34A07">
      <w:pPr>
        <w:jc w:val="both"/>
        <w:rPr>
          <w:sz w:val="28"/>
          <w:szCs w:val="28"/>
        </w:rPr>
      </w:pPr>
      <w:r w:rsidRPr="00BD6BE4">
        <w:rPr>
          <w:color w:val="000000"/>
          <w:sz w:val="28"/>
          <w:szCs w:val="28"/>
          <w:shd w:val="clear" w:color="auto" w:fill="FFFFFF"/>
        </w:rPr>
        <w:t xml:space="preserve"> </w:t>
      </w:r>
      <w:r w:rsidRPr="00BD6BE4">
        <w:rPr>
          <w:color w:val="000000"/>
          <w:sz w:val="28"/>
          <w:szCs w:val="28"/>
        </w:rPr>
        <w:br/>
      </w:r>
    </w:p>
    <w:p w:rsidR="0076726E" w:rsidRPr="00D107E1" w:rsidP="00063912">
      <w:pPr>
        <w:jc w:val="both"/>
        <w:rPr>
          <w:sz w:val="28"/>
          <w:szCs w:val="28"/>
        </w:rPr>
      </w:pPr>
    </w:p>
    <w:p w:rsidR="0076726E" w:rsidRPr="00D107E1" w:rsidP="00063912">
      <w:pPr>
        <w:jc w:val="both"/>
        <w:rPr>
          <w:sz w:val="28"/>
          <w:szCs w:val="28"/>
        </w:rPr>
      </w:pPr>
    </w:p>
    <w:p w:rsidR="0076726E" w:rsidRPr="00D107E1" w:rsidP="00063912">
      <w:pPr>
        <w:jc w:val="both"/>
        <w:rPr>
          <w:sz w:val="28"/>
          <w:szCs w:val="28"/>
        </w:rPr>
      </w:pPr>
    </w:p>
    <w:p w:rsidR="0076726E" w:rsidRPr="00D107E1" w:rsidP="00063912">
      <w:pPr>
        <w:jc w:val="both"/>
        <w:rPr>
          <w:sz w:val="28"/>
          <w:szCs w:val="28"/>
        </w:rPr>
      </w:pPr>
    </w:p>
    <w:p w:rsidR="0076726E" w:rsidRPr="00D107E1" w:rsidP="00063912">
      <w:pPr>
        <w:jc w:val="both"/>
        <w:rPr>
          <w:sz w:val="28"/>
          <w:szCs w:val="28"/>
        </w:rPr>
      </w:pPr>
    </w:p>
    <w:p w:rsidR="0076726E" w:rsidRPr="00D107E1" w:rsidP="00063912">
      <w:pPr>
        <w:jc w:val="both"/>
        <w:rPr>
          <w:sz w:val="28"/>
          <w:szCs w:val="28"/>
        </w:rPr>
      </w:pPr>
    </w:p>
    <w:p w:rsidR="0076726E" w:rsidP="00063912">
      <w:pPr>
        <w:jc w:val="both"/>
      </w:pPr>
    </w:p>
    <w:p w:rsidR="0076726E" w:rsidP="00063912">
      <w:pPr>
        <w:jc w:val="both"/>
      </w:pPr>
    </w:p>
    <w:p w:rsidR="0076726E" w:rsidP="00063912">
      <w:pPr>
        <w:jc w:val="both"/>
      </w:pPr>
    </w:p>
    <w:p w:rsidR="0076726E" w:rsidP="00063912">
      <w:pPr>
        <w:jc w:val="both"/>
      </w:pPr>
    </w:p>
    <w:p w:rsidR="0076726E" w:rsidP="00063912">
      <w:pPr>
        <w:jc w:val="both"/>
      </w:pPr>
    </w:p>
    <w:p w:rsidR="0076726E" w:rsidP="00063912">
      <w:pPr>
        <w:jc w:val="both"/>
      </w:pPr>
    </w:p>
    <w:p w:rsidR="0076726E" w:rsidRPr="007A7397" w:rsidP="00D670C0">
      <w:r>
        <w:t xml:space="preserve"> </w:t>
      </w:r>
    </w:p>
    <w:p w:rsidR="0076726E" w:rsidRPr="007A7397"/>
    <w:sectPr w:rsidSect="00BE59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0C0"/>
    <w:rsid w:val="00063912"/>
    <w:rsid w:val="000A2BCA"/>
    <w:rsid w:val="000E0079"/>
    <w:rsid w:val="0022777F"/>
    <w:rsid w:val="00233952"/>
    <w:rsid w:val="00276996"/>
    <w:rsid w:val="0031655E"/>
    <w:rsid w:val="00347D29"/>
    <w:rsid w:val="004718FA"/>
    <w:rsid w:val="004B599C"/>
    <w:rsid w:val="004C00F5"/>
    <w:rsid w:val="004E18A6"/>
    <w:rsid w:val="005047B9"/>
    <w:rsid w:val="00554404"/>
    <w:rsid w:val="00583617"/>
    <w:rsid w:val="005B689E"/>
    <w:rsid w:val="005D7434"/>
    <w:rsid w:val="00614935"/>
    <w:rsid w:val="00615B0C"/>
    <w:rsid w:val="00654714"/>
    <w:rsid w:val="00683C57"/>
    <w:rsid w:val="00750325"/>
    <w:rsid w:val="0076608E"/>
    <w:rsid w:val="0076726E"/>
    <w:rsid w:val="007810DE"/>
    <w:rsid w:val="007A7397"/>
    <w:rsid w:val="007F09F3"/>
    <w:rsid w:val="0082722D"/>
    <w:rsid w:val="008D1C27"/>
    <w:rsid w:val="008F2BA4"/>
    <w:rsid w:val="0090628D"/>
    <w:rsid w:val="009B6D37"/>
    <w:rsid w:val="009C52EE"/>
    <w:rsid w:val="00A4055A"/>
    <w:rsid w:val="00AE355F"/>
    <w:rsid w:val="00B11705"/>
    <w:rsid w:val="00B30FA6"/>
    <w:rsid w:val="00B62A30"/>
    <w:rsid w:val="00B82710"/>
    <w:rsid w:val="00B9059E"/>
    <w:rsid w:val="00B94CD3"/>
    <w:rsid w:val="00BD6BE4"/>
    <w:rsid w:val="00BE0918"/>
    <w:rsid w:val="00BE5952"/>
    <w:rsid w:val="00C150F3"/>
    <w:rsid w:val="00D107E1"/>
    <w:rsid w:val="00D2633B"/>
    <w:rsid w:val="00D50E65"/>
    <w:rsid w:val="00D670C0"/>
    <w:rsid w:val="00D94D29"/>
    <w:rsid w:val="00DB5CDE"/>
    <w:rsid w:val="00DE16C3"/>
    <w:rsid w:val="00E12177"/>
    <w:rsid w:val="00E57303"/>
    <w:rsid w:val="00E73A9A"/>
    <w:rsid w:val="00E74360"/>
    <w:rsid w:val="00E77F2E"/>
    <w:rsid w:val="00F01CC2"/>
    <w:rsid w:val="00F27CCD"/>
    <w:rsid w:val="00F34A07"/>
    <w:rsid w:val="00F5490F"/>
    <w:rsid w:val="00FD0DAE"/>
    <w:rsid w:val="00FD3FB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9"/>
    <w:qFormat/>
    <w:locked/>
    <w:rsid w:val="00614935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9C52EE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D670C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D670C0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670C0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D670C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670C0"/>
    <w:rPr>
      <w:rFonts w:cs="Times New Roman"/>
    </w:rPr>
  </w:style>
  <w:style w:type="character" w:customStyle="1" w:styleId="fio1">
    <w:name w:val="fio1"/>
    <w:basedOn w:val="DefaultParagraphFont"/>
    <w:uiPriority w:val="99"/>
    <w:rsid w:val="00D670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D670C0"/>
    <w:rPr>
      <w:rFonts w:cs="Times New Roman"/>
    </w:rPr>
  </w:style>
  <w:style w:type="character" w:customStyle="1" w:styleId="10">
    <w:name w:val="Знак Знак1"/>
    <w:uiPriority w:val="99"/>
    <w:rsid w:val="00276996"/>
    <w:rPr>
      <w:sz w:val="24"/>
    </w:rPr>
  </w:style>
  <w:style w:type="paragraph" w:customStyle="1" w:styleId="s1">
    <w:name w:val="s_1"/>
    <w:basedOn w:val="Normal"/>
    <w:uiPriority w:val="99"/>
    <w:rsid w:val="00276996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_3"/>
    <w:basedOn w:val="Normal"/>
    <w:uiPriority w:val="99"/>
    <w:rsid w:val="00276996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basedOn w:val="DefaultParagraphFont"/>
    <w:uiPriority w:val="99"/>
    <w:rsid w:val="009B6D37"/>
    <w:rPr>
      <w:rFonts w:cs="Times New Roman"/>
      <w:color w:val="800080"/>
      <w:u w:val="single"/>
    </w:rPr>
  </w:style>
  <w:style w:type="character" w:customStyle="1" w:styleId="blk">
    <w:name w:val="blk"/>
    <w:basedOn w:val="DefaultParagraphFont"/>
    <w:uiPriority w:val="99"/>
    <w:rsid w:val="00614935"/>
    <w:rPr>
      <w:rFonts w:cs="Times New Roman"/>
    </w:rPr>
  </w:style>
  <w:style w:type="character" w:customStyle="1" w:styleId="fio7">
    <w:name w:val="fio7"/>
    <w:basedOn w:val="DefaultParagraphFont"/>
    <w:uiPriority w:val="99"/>
    <w:rsid w:val="00A4055A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A405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9E2EF813352372EC26F2DEB87929F041B702803BE367D3387B2656ACF906F5812ECD7984E3A6A8DC50660F368D197A22A0D45A3E335143m9G6L" TargetMode="External" /><Relationship Id="rId11" Type="http://schemas.openxmlformats.org/officeDocument/2006/relationships/hyperlink" Target="consultantplus://offline/ref=799E2EF813352372EC26F2DEB87929F041B702803BE367D3387B2656ACF906F5812ECD7B82EFA3AB810A760B7FD9106527BECB582033m5G1L" TargetMode="External" /><Relationship Id="rId12" Type="http://schemas.openxmlformats.org/officeDocument/2006/relationships/hyperlink" Target="https://sudact.ru/law/koap/razdel-ii/glava-12/statia-12.8/" TargetMode="External" /><Relationship Id="rId13" Type="http://schemas.openxmlformats.org/officeDocument/2006/relationships/hyperlink" Target="garantF1://12025267.24502" TargetMode="External" /><Relationship Id="rId14" Type="http://schemas.openxmlformats.org/officeDocument/2006/relationships/hyperlink" Target="https://sudact.ru/law/koap/razdel-iv/glava-24/statia-24.5/" TargetMode="External" /><Relationship Id="rId15" Type="http://schemas.openxmlformats.org/officeDocument/2006/relationships/hyperlink" Target="https://sudact.ru/law/koap/razdel-iv/glava-29/statia-29.9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consultantplus://offline/ref=59A4AB53159B60A465E9C3247379A5A0371422DC631EBD6CCA4C5A935F4F9231C6D244641EB0B178C4F0A0DFB025F0E0B5A44598E524wBJDH" TargetMode="External" /><Relationship Id="rId7" Type="http://schemas.openxmlformats.org/officeDocument/2006/relationships/hyperlink" Target="https://sudact.ru/law/koap/razdel-ii/glava-12/statia-12.1_1/" TargetMode="External" /><Relationship Id="rId8" Type="http://schemas.openxmlformats.org/officeDocument/2006/relationships/hyperlink" Target="https://sudact.ru/law/koap/razdel-ii/glava-8/statia-8.1/" TargetMode="External" /><Relationship Id="rId9" Type="http://schemas.openxmlformats.org/officeDocument/2006/relationships/hyperlink" Target="consultantplus://offline/ref=799E2EF813352372EC26F2DEB87929F041B702803BE367D3387B2656ACF906F5812ECD7984E7A7A2DD50660F368D197A22A0D45A3E335143m9G6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