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2A9209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9785A">
        <w:rPr>
          <w:rFonts w:ascii="Times New Roman" w:eastAsia="Times New Roman" w:hAnsi="Times New Roman"/>
          <w:sz w:val="28"/>
          <w:szCs w:val="28"/>
          <w:lang w:eastAsia="ru-RU"/>
        </w:rPr>
        <w:t>1685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785A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560458" w:rsidRPr="00B94A31" w:rsidP="00560458" w14:paraId="3746AE06" w14:textId="38A4DE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9785A">
        <w:rPr>
          <w:rFonts w:ascii="Times New Roman" w:eastAsia="Times New Roman" w:hAnsi="Times New Roman"/>
          <w:sz w:val="28"/>
          <w:szCs w:val="28"/>
          <w:lang w:eastAsia="ru-RU"/>
        </w:rPr>
        <w:t>277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6DD35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B3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E63024" w14:paraId="73A9CAE0" w14:textId="4327734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Козельского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Александра Викторовича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D5B55" w:rsidP="0051575E" w14:paraId="16D01DCA" w14:textId="2DCDF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а/д «Черноморское – Воинка 54 км» вблизи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Стерегущее Раздольненского района Республики Крым, водитель </w:t>
      </w:r>
      <w:r w:rsidRPr="00E6302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7813C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711068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Dacia</w:t>
      </w:r>
      <w:r w:rsidRPr="00711068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1068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Logan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Т014ЕР777</w:t>
      </w:r>
      <w:r w:rsidR="007110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777</w:t>
      </w:r>
      <w:r w:rsidRPr="00AF4A44" w:rsidR="00100D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396" w:rsidP="00912396" w14:paraId="46D80125" w14:textId="3ECD553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E6302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времени и месте рассмотрения дела извещался надлежащим образом путем направления СМС-извещения, с ходатайством об отложении рассмотрения дела в суд не обращался, причины неявку суду неизвестны. </w:t>
      </w:r>
    </w:p>
    <w:p w:rsidR="00912396" w:rsidP="00912396" w14:paraId="67B0CB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912396" w:rsidP="00912396" w14:paraId="048CE52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является обязательным и не было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912396" w:rsidP="00912396" w14:paraId="2C3F9B4D" w14:textId="6BA1FB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 w:rsidRPr="00E6302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будучи извещенным надлежащим образом о времени и месте рассмотрения дела, 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явился, с ходатайством об отложении рассмотрения дела не обращался, 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E27AA" w:rsidP="007E27AA" w14:paraId="401F691B" w14:textId="2003F9B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63024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7E27AA" w14:paraId="56D9D39B" w14:textId="20F89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49FF" w:rsidP="009449FF" w14:paraId="4EF6A01C" w14:textId="0EF8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82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1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E63024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 в виде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«запаха алкоголя изо рта» и последний отказался от освидетельствования на состояние опьянения.</w:t>
      </w:r>
    </w:p>
    <w:p w:rsidR="00E12CFD" w:rsidRPr="00475CB1" w:rsidP="00E12CFD" w14:paraId="11BBB258" w14:textId="3BA81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E63024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099D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1776264C" w14:textId="502762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6C72B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1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4C63D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E63024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31ACB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E63024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 w:rsidR="00711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33CDD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02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Козельск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832854" w:rsidP="00503965" w14:paraId="3A46735C" w14:textId="5CEB9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912396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частности при составлении протокола об административном правонарушении.</w:t>
      </w:r>
    </w:p>
    <w:p w:rsidR="002F700A" w:rsidP="002F700A" w14:paraId="5757CDC6" w14:textId="78D16FB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832854">
        <w:rPr>
          <w:sz w:val="28"/>
          <w:szCs w:val="28"/>
          <w:lang w:eastAsia="zh-CN"/>
        </w:rPr>
        <w:t>не установлено.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2EB4E6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Козельского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32443E4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813C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56660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Козельского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Викторовича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B0B38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84A0A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D7E70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50E0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50ADC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575E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157FC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E0248"/>
    <w:rsid w:val="00711068"/>
    <w:rsid w:val="0071660F"/>
    <w:rsid w:val="00726FBB"/>
    <w:rsid w:val="0074569A"/>
    <w:rsid w:val="00757716"/>
    <w:rsid w:val="007604DB"/>
    <w:rsid w:val="007632B5"/>
    <w:rsid w:val="00766E94"/>
    <w:rsid w:val="00772711"/>
    <w:rsid w:val="007813C8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C162F"/>
    <w:rsid w:val="008D3592"/>
    <w:rsid w:val="008D6C81"/>
    <w:rsid w:val="008E2201"/>
    <w:rsid w:val="008E67B3"/>
    <w:rsid w:val="008F66CF"/>
    <w:rsid w:val="0090073A"/>
    <w:rsid w:val="00903ADC"/>
    <w:rsid w:val="00912396"/>
    <w:rsid w:val="00917525"/>
    <w:rsid w:val="0092425B"/>
    <w:rsid w:val="00934B01"/>
    <w:rsid w:val="00937687"/>
    <w:rsid w:val="009432F0"/>
    <w:rsid w:val="00943550"/>
    <w:rsid w:val="00943CB6"/>
    <w:rsid w:val="009449FF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5B55"/>
    <w:rsid w:val="009D6E93"/>
    <w:rsid w:val="009F63F4"/>
    <w:rsid w:val="009F6AE0"/>
    <w:rsid w:val="00A00737"/>
    <w:rsid w:val="00A25093"/>
    <w:rsid w:val="00A427A5"/>
    <w:rsid w:val="00A42E84"/>
    <w:rsid w:val="00A51EA0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1A2E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9785A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27E4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3024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D31FD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F917-A65E-4461-A522-17EA0D38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