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№ 5-70-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70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, </w:t>
      </w:r>
      <w:r>
        <w:rPr>
          <w:rFonts w:ascii="Bookman Old Style" w:eastAsia="Bookman Old Style" w:hAnsi="Bookman Old Style" w:cs="Bookman Old Style"/>
          <w:sz w:val="26"/>
          <w:rtl w:val="0"/>
        </w:rPr>
        <w:t>паспортные данные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х (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32.2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70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№ 5-70-15/2024,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т. 12.26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в.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5/25/82020-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ъ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70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5-70-15/2024,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т. 12.26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32.2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у,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1.1, 1.3 - 1.3-3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1.4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31.5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60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й,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м.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ч. 1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2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4.1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4.2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20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 1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 20 (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ь)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в.</w:t>
      </w:r>
    </w:p>
    <w:p>
      <w:pPr>
        <w:keepNext/>
        <w:keepLines/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ъ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4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к.</w:t>
      </w:r>
    </w:p>
    <w:p>
      <w:pPr>
        <w:keepNext/>
        <w:keepLines/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ю.</w:t>
      </w:r>
    </w:p>
    <w:p>
      <w:pPr>
        <w:keepNext/>
        <w:keepLines/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