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 января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Федорчука Сергея Александровича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Ружинского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5"/>
          <w:rtl w:val="0"/>
        </w:rPr>
        <w:t>руководителя Общества с ограниченной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ветственностью «Памир»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ООО «Памир»</w:t>
      </w:r>
      <w:r>
        <w:rPr>
          <w:rFonts w:ascii="Times New Roman" w:eastAsia="Times New Roman" w:hAnsi="Times New Roman" w:cs="Times New Roman"/>
          <w:sz w:val="25"/>
          <w:rtl w:val="0"/>
        </w:rPr>
        <w:t>),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 ч. 1 ст. 20.25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1605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29.01.2019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Федорчук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10.12.2018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Сакского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по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лу № 5-</w:t>
      </w:r>
      <w:r>
        <w:rPr>
          <w:rFonts w:ascii="Times New Roman" w:eastAsia="Times New Roman" w:hAnsi="Times New Roman" w:cs="Times New Roman"/>
          <w:sz w:val="26"/>
          <w:rtl w:val="0"/>
        </w:rPr>
        <w:t>70-</w:t>
      </w:r>
      <w:r>
        <w:rPr>
          <w:rFonts w:ascii="Times New Roman" w:eastAsia="Times New Roman" w:hAnsi="Times New Roman" w:cs="Times New Roman"/>
          <w:sz w:val="26"/>
          <w:rtl w:val="0"/>
        </w:rPr>
        <w:t>254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18.09.2018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"http://sudact.ru/law/koap/razdel-ii/glava-10/statia-10.5.1/?marker=fdoctlaw"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20.25 КоАП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Федорчук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 (далее КоАП РФ) признал, раскаялся. С ход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тайством об отсрочки уплаты штрафа не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ращался.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1605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-АП от </w:t>
      </w:r>
      <w:r>
        <w:rPr>
          <w:rFonts w:ascii="Times New Roman" w:eastAsia="Times New Roman" w:hAnsi="Times New Roman" w:cs="Times New Roman"/>
          <w:sz w:val="26"/>
          <w:rtl w:val="0"/>
        </w:rPr>
        <w:t>29.01.2018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18.09.2018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</w:t>
      </w:r>
      <w:r>
        <w:rPr>
          <w:rFonts w:ascii="Times New Roman" w:eastAsia="Times New Roman" w:hAnsi="Times New Roman" w:cs="Times New Roman"/>
          <w:sz w:val="26"/>
          <w:rtl w:val="0"/>
        </w:rPr>
        <w:t>№ 5-</w:t>
      </w:r>
      <w:r>
        <w:rPr>
          <w:rFonts w:ascii="Times New Roman" w:eastAsia="Times New Roman" w:hAnsi="Times New Roman" w:cs="Times New Roman"/>
          <w:sz w:val="26"/>
          <w:rtl w:val="0"/>
        </w:rPr>
        <w:t>70-</w:t>
      </w:r>
      <w:r>
        <w:rPr>
          <w:rFonts w:ascii="Times New Roman" w:eastAsia="Times New Roman" w:hAnsi="Times New Roman" w:cs="Times New Roman"/>
          <w:sz w:val="26"/>
          <w:rtl w:val="0"/>
        </w:rPr>
        <w:t>254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шим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12.10.2018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10.01.2019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квитанции от 28.01.2019.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1605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29.01.2019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он, будучи привлеченным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 судьи судебного участка № 70 Сакского судебного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(Сакский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18.09.2018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5-70-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54/2018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 назначением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рублей, вступившим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12.10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административный штраф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рублей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10.12.2018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предусмотренный ст. 32.2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предусмотрена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ветственность за неуплату административного штрафа в срок,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"consultantplus://offline/ref=B0C837916F081F25FC18DB25161FD220C81BE68D364D1079B7D512639747VCE"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"consultantplus://offline/ref=B0C837916F081F25FC18DB25161FD220C81BE68D364D1079B7D51263977C14D912BC2BF2E2A8D7D846V7E"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административный штраф должен быть уплачен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"consultantplus://offline/ref=B0C837916F081F25FC18DB25161FD220C81BE68D364D1079B7D51263977C14D912BC2BF2E2A8D7DC46V2E"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статьей 31.5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"consultantplus://offline/ref=B0C837916F081F25FC18DB25161FD220C81BE68D364D1079B7D51263977C14D912BC2BF2EBA24DVBE"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ч.5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при отсутствии документа, свидетельствующего об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лате административного штрафа, по истечении срока, указанного в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"consultantplus://offline/ref=0E6409FD1391FC227298424A270DFF1E48A3F53EABCEB7F1794EB3F79220FA2F4C85B9400456DCF0XC55G"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части 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стоящей статьи, судья, орган, должностное лицо, вынесшие постановление,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правляют в течение трех суток постановление о наложении административного штрафа с отметкой о его неуплате судебному приставу-исполнителю для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 порядке, предусмотренном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 законодательством. Кроме того, должностное лицо федерального органа исполнительной власти, стру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турного подразделения или территориального органа, ин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правонарушении, составляет протокол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предусмотренном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"consultantplus://offline/ref=0E6409FD1391FC227298424A270DFF1E48A3F53EABCEB7F1794EB3F79220FA2F4C85B94305X556G"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частью 1 статьи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"consultantplus://offline/ref=B0C837916F081F25FC18DB25161FD220C81BE68D364D1079B7D51263977C14D912BC2BF2E2A8D7D846V6E"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ответственности, обязано уплатить штраф не позднее 60 дней со дня вступления в силу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"consultantplus://offline/ref=B0C837916F081F25FC18DB25161FD220C81BE68D364D1079B7D51263977C14D912BC2BF1E34AV8E"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 1 ст. 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"consultantplus://offline/ref=B0C837916F081F25FC18DB25161FD220C81BE68D364D1079B7D512639747VCE"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личность лица, привлекаемого к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как самим правонарушит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его имущественное положение и учит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вается смягчающе</w:t>
      </w:r>
      <w:r>
        <w:rPr>
          <w:rFonts w:ascii="Times New Roman" w:eastAsia="Times New Roman" w:hAnsi="Times New Roman" w:cs="Times New Roman"/>
          <w:sz w:val="26"/>
          <w:rtl w:val="0"/>
        </w:rPr>
        <w:t>е вину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6"/>
          <w:rtl w:val="0"/>
        </w:rPr>
        <w:t>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Федорчуку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 рублей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Федорчука Сергея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ч. 1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ИНН получателя: 7702835613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 910201001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</w:t>
      </w:r>
      <w:r>
        <w:rPr>
          <w:rFonts w:ascii="Times New Roman" w:eastAsia="Times New Roman" w:hAnsi="Times New Roman" w:cs="Times New Roman"/>
          <w:sz w:val="26"/>
          <w:rtl w:val="0"/>
        </w:rPr>
        <w:t>чётный счет: 401018103351000100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Лицевой счет: 04751А91420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 32211617000016017140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(УФС</w:t>
      </w:r>
      <w:r>
        <w:rPr>
          <w:rFonts w:ascii="Times New Roman" w:eastAsia="Times New Roman" w:hAnsi="Times New Roman" w:cs="Times New Roman"/>
          <w:sz w:val="26"/>
          <w:rtl w:val="0"/>
        </w:rPr>
        <w:t>СП России по РК, л/с 04751А91420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УИН 32282020190001605014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6"/>
          <w:rtl w:val="0"/>
        </w:rPr>
        <w:t>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