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38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1, 2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 72,73,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х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у.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242440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10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4.3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20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20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