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самозанятого в сфере строительства,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обстоятельства изложенные в протоколе об административном правонарушении подтвердил, в содеянном раскаялся.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общественном месте в состоянии опьянения так как злоупотребил спиртными напитками, из-за того, что поругался по телефону с бывшей сожительницей.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242526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8212 № 045337 о направлении на медицинское освидетельствование;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37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 административном задержании;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что он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 однако подрабатывает на стройке неофициально,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подвергнут административному задержанию, суд считает необходимым назначить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>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и задержании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Сакский в в срок административного ареста подлежит зачету срок административного задержания.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одни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административного ареста исчислять с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