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/2020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24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 Саки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стием защитников: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ст. помощника Сакского межрайонного прокурора – </w:t>
      </w:r>
      <w:r>
        <w:rPr>
          <w:rFonts w:ascii="Times New Roman" w:eastAsia="Times New Roman" w:hAnsi="Times New Roman" w:cs="Times New Roman"/>
          <w:sz w:val="28"/>
          <w:rtl w:val="0"/>
        </w:rPr>
        <w:t>Калаганова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М.И.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Дмитрия Анатольевича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«Отель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Чайка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постановлению о возбуждении дела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тративном правонарушении от 02</w:t>
      </w:r>
      <w:r>
        <w:rPr>
          <w:rFonts w:ascii="Times New Roman" w:eastAsia="Times New Roman" w:hAnsi="Times New Roman" w:cs="Times New Roman"/>
          <w:sz w:val="28"/>
          <w:rtl w:val="0"/>
        </w:rPr>
        <w:t>.12.2019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ходе проведения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проверки исполнения должностными лицами ООО </w:t>
      </w:r>
      <w:r>
        <w:rPr>
          <w:rFonts w:ascii="Times New Roman" w:eastAsia="Times New Roman" w:hAnsi="Times New Roman" w:cs="Times New Roman"/>
          <w:sz w:val="28"/>
          <w:rtl w:val="0"/>
        </w:rPr>
        <w:t>«Отель «Чайка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требований градостроительного законодательства при производстве работ по реконструкции нежилого здания, расположенного по ул. Курортной 71, в г. Саки, кадастровый номер 90:21:010114:141, </w:t>
      </w:r>
      <w:r>
        <w:rPr>
          <w:rFonts w:ascii="Times New Roman" w:eastAsia="Times New Roman" w:hAnsi="Times New Roman" w:cs="Times New Roman"/>
          <w:sz w:val="28"/>
          <w:rtl w:val="0"/>
        </w:rPr>
        <w:t>было 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собственником нежилого здания площадью 1537 кв.м., расположенного по ул. Курортной 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г. Саки является ООО «Отель «Чайка». 22.02.2019 между ООО «</w:t>
      </w:r>
      <w:r>
        <w:rPr>
          <w:rFonts w:ascii="Times New Roman" w:eastAsia="Times New Roman" w:hAnsi="Times New Roman" w:cs="Times New Roman"/>
          <w:sz w:val="28"/>
          <w:rtl w:val="0"/>
        </w:rPr>
        <w:t>Отлель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«Чайка» и ООО «</w:t>
      </w:r>
      <w:r>
        <w:rPr>
          <w:rFonts w:ascii="Times New Roman" w:eastAsia="Times New Roman" w:hAnsi="Times New Roman" w:cs="Times New Roman"/>
          <w:sz w:val="28"/>
          <w:rtl w:val="0"/>
        </w:rPr>
        <w:t>Тургеньева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27» заключен договор совестной деятельности, предметом которого является создание нового объекта недвижимости (многоквартирного дома) образуемого в результате переустройства и перепланировки нежилого здания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кадастровый номер 90:21:010114:141 с переводом его в мног</w:t>
      </w:r>
      <w:r>
        <w:rPr>
          <w:rFonts w:ascii="Times New Roman" w:eastAsia="Times New Roman" w:hAnsi="Times New Roman" w:cs="Times New Roman"/>
          <w:sz w:val="28"/>
          <w:rtl w:val="0"/>
        </w:rPr>
        <w:t>оквартирный жилой дом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п. 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договора, </w:t>
      </w:r>
      <w:r>
        <w:rPr>
          <w:rFonts w:ascii="Times New Roman" w:eastAsia="Times New Roman" w:hAnsi="Times New Roman" w:cs="Times New Roman"/>
          <w:sz w:val="28"/>
          <w:rtl w:val="0"/>
        </w:rPr>
        <w:t>оформление всех разрешительных документов осуществляется ООО «Отель «Чайка» за счет средств ООО «</w:t>
      </w:r>
      <w:r>
        <w:rPr>
          <w:rFonts w:ascii="Times New Roman" w:eastAsia="Times New Roman" w:hAnsi="Times New Roman" w:cs="Times New Roman"/>
          <w:sz w:val="28"/>
          <w:rtl w:val="0"/>
        </w:rPr>
        <w:t>Тургеньева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27».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олжностные лица ООО </w:t>
      </w:r>
      <w:r>
        <w:rPr>
          <w:rFonts w:ascii="Times New Roman" w:eastAsia="Times New Roman" w:hAnsi="Times New Roman" w:cs="Times New Roman"/>
          <w:sz w:val="28"/>
          <w:rtl w:val="0"/>
        </w:rPr>
        <w:t>«Отель «Чайка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нарушение требований ч.2 ст. 51 </w:t>
      </w:r>
      <w:r>
        <w:rPr>
          <w:rFonts w:ascii="Times New Roman" w:eastAsia="Times New Roman" w:hAnsi="Times New Roman" w:cs="Times New Roman"/>
          <w:sz w:val="28"/>
          <w:rtl w:val="0"/>
        </w:rPr>
        <w:t>ГрК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п.2 Порядка №2040-6/14, в период с марта 2019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совестно с ООО «</w:t>
      </w:r>
      <w:r>
        <w:rPr>
          <w:rFonts w:ascii="Times New Roman" w:eastAsia="Times New Roman" w:hAnsi="Times New Roman" w:cs="Times New Roman"/>
          <w:sz w:val="28"/>
          <w:rtl w:val="0"/>
        </w:rPr>
        <w:t>Тургеньева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27»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отсутствие декларации на выполнение строительных работ, приступили к выполнению работ по реконструкции нежилого здания, площадью 1537 кв.м., расположенного по ул. Курортной, д. 71, в г. Саки.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информации Службы государственного строительного надзора Республики Крым от 17.05.2019 регистрация декларации на начало выполнения строительных работ на объект, расположенный по ул. Курортной 71 в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Саки, Службой государственного строительного надзора Республики Крым не осуществлялась.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08.12.2014 №1 генеральным 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ООО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«Отель «Чайка»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защитники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постановлением о возбуждении дела об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правонарушении не согласились</w:t>
      </w:r>
      <w:r>
        <w:rPr>
          <w:rFonts w:ascii="Times New Roman" w:eastAsia="Times New Roman" w:hAnsi="Times New Roman" w:cs="Times New Roman"/>
          <w:sz w:val="28"/>
          <w:rtl w:val="0"/>
        </w:rPr>
        <w:t>, пояснил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осуществлялась перепланировка и переустройство здания, реконструкция не проводилась,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следовательно получение разрешения не требуется, </w:t>
      </w:r>
      <w:r>
        <w:rPr>
          <w:rFonts w:ascii="Times New Roman" w:eastAsia="Times New Roman" w:hAnsi="Times New Roman" w:cs="Times New Roman"/>
          <w:sz w:val="28"/>
          <w:rtl w:val="0"/>
        </w:rPr>
        <w:t>просил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прекратить.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Старший помощник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прокур</w:t>
      </w:r>
      <w:r>
        <w:rPr>
          <w:rFonts w:ascii="Times New Roman" w:eastAsia="Times New Roman" w:hAnsi="Times New Roman" w:cs="Times New Roman"/>
          <w:sz w:val="28"/>
          <w:rtl w:val="0"/>
        </w:rPr>
        <w:t>ора, участвующий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рассмотрении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просил привлечь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ответственности. Так как в его действиях имеется состав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 ст. 9.5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защитников,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старше</w:t>
      </w:r>
      <w:r>
        <w:rPr>
          <w:rFonts w:ascii="Times New Roman" w:eastAsia="Times New Roman" w:hAnsi="Times New Roman" w:cs="Times New Roman"/>
          <w:sz w:val="28"/>
          <w:rtl w:val="0"/>
        </w:rPr>
        <w:t>го помощника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изучив материалы дела, мировой судья считает необходимым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прекратить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производство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делу об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правонарушении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hyperlink r:id="rId4" w:anchor="/document/12125267/entry/9501" w:history="1">
        <w:r>
          <w:rPr>
            <w:rFonts w:ascii="Times New Roman" w:eastAsia="Times New Roman" w:hAnsi="Times New Roman" w:cs="Times New Roman"/>
            <w:i w:val="0"/>
            <w:color w:val="0000FF"/>
            <w:sz w:val="28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8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8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8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8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8"/>
            <w:u w:val="single"/>
            <w:rtl w:val="0"/>
          </w:rPr>
          <w:t>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8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8"/>
            <w:u w:val="single"/>
            <w:rtl w:val="0"/>
          </w:rPr>
          <w:t>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следующим основаниям.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hyperlink r:id="rId4" w:anchor="/document/12125267/entry/95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Часть 1 ст. 9.5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предусматривает ответственность за строительство,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реконструкцию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объектов капитального строительства без разрешения на строительство в случае, если для осуществления строительства, реконструкции объектов капитального строительства предусмотрено получение разрешений на строительство.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4" w:anchor="/document/12138258/entry/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Градостроительного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8"/>
          <w:rtl w:val="0"/>
        </w:rPr>
        <w:t>объект капитального строительства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</w:t>
      </w:r>
      <w:r>
        <w:rPr>
          <w:rFonts w:ascii="Times New Roman" w:eastAsia="Times New Roman" w:hAnsi="Times New Roman" w:cs="Times New Roman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строительство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создание зданий, строений, сооружений (в том числе на месте сносимых объектов капитального строительства)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реконструкция объектов капитального строительства (за исключением линейных объектов)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указанных элементов.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4" w:anchor="/document/12138258/entry/5102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. 2 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Градостроительного кодекса РФ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4" w:anchor="/document/12138258/entry/5101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ч. 17 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Градостроительного кодекса РФ выдача разрешения на строительство не требуется в случае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 капитального ремонта объектов капитального строительства.</w:t>
      </w:r>
    </w:p>
    <w:p>
      <w:pPr>
        <w:widowControl w:val="0"/>
        <w:bidi w:val="0"/>
        <w:spacing w:before="0" w:beforeAutospacing="0" w:after="6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заключению эксперта по обследованию нежилого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здания на предмет выполненных строительных работ в рамках исполнения проекта 08-19 по перепланировке гостиницы «Чайка»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подготовленного ООО «КФ «Остров» от 23.07.2020г.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ходе сплошного осмотра помещений в здании (</w:t>
      </w:r>
      <w:r>
        <w:rPr>
          <w:rFonts w:ascii="Times New Roman" w:eastAsia="Times New Roman" w:hAnsi="Times New Roman" w:cs="Times New Roman"/>
          <w:sz w:val="28"/>
          <w:rtl w:val="0"/>
        </w:rPr>
        <w:t>кад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№ 90:21:010114:141) общей площадью 1 537 кв.м.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установлено: внутри здания ведутся отделочные работы разной степени готовно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сти. Работы по монтажу/демонтажу перегородок и проемов окончены. Переноса/демонтажа несущих конструкций (опорные стены, плиты перекрытия) не обнаружено. Во всех помещениях установлены металлопластиковые окна. Электротехническое обу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стройство выполнено частично (в большей части здания отсутствуют осветительные при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боры, выключатели, розетки). Тепло- и водоснабжение/водоотведение также не имеет за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конченного вида: отсутствуют радиаторы отопления, сантехнические узлы (раковины, унитазы, краны). Система вентиляция осталась без изменения (все вентиляционные кана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лы на своих местах).</w:t>
      </w:r>
    </w:p>
    <w:p>
      <w:pPr>
        <w:widowControl w:val="0"/>
        <w:bidi w:val="0"/>
        <w:spacing w:before="0" w:beforeAutospacing="0" w:after="0" w:afterAutospacing="0"/>
        <w:ind w:left="0" w:right="0" w:firstLine="5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Внешний фасад здания имеет законченный вид. Здание имеет 4 входа. Территория перед зданием благоустроена: мощение из тротуарной плитки, металлическое ограждение. Конструктивных изменений во внешних границах здания не наблюдаются (надстройка этажей, пристройка помещений, пристройка вспомогательных сооружений к зданию). Новых (дополнительных) подключений коммуникаций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86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характеру строительных работ в рамках исполнения проекта 08-19 по переплани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ровке гостиницы «Чайка»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выпол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ненных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момент осмотра, можно выделить следующие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Переустройство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практически во всех помещениях произведен перенос элек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тропроводки и электрических узлов, а также перенесены сети водоснабжения и отведения (там, где они были). Теплосети остались на своих местах.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Перепланировка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 многих помещениях были </w:t>
      </w:r>
      <w:r>
        <w:rPr>
          <w:rFonts w:ascii="Times New Roman" w:eastAsia="Times New Roman" w:hAnsi="Times New Roman" w:cs="Times New Roman"/>
          <w:sz w:val="28"/>
          <w:rtl w:val="0"/>
        </w:rPr>
        <w:t>снесены</w:t>
      </w:r>
      <w:r>
        <w:rPr>
          <w:rFonts w:ascii="Times New Roman" w:eastAsia="Times New Roman" w:hAnsi="Times New Roman" w:cs="Times New Roman"/>
          <w:sz w:val="28"/>
          <w:rtl w:val="0"/>
        </w:rPr>
        <w:t>/перенесены/добавлены перегородки. В некоторых помещениях произведена закладка дверных/оконных проемов. Местами были обустроены новые дверные проемы.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Текущий ремонт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практически все помещения оштукатурены (некоторые окрашены). Фасад здания имеет законченный вид (оштукатурен, окрашен). Уста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>новлены все необходимые фасадные элементы (водостоки, подоконники/отливы).</w:t>
      </w:r>
    </w:p>
    <w:p>
      <w:pPr>
        <w:widowControl w:val="0"/>
        <w:bidi w:val="0"/>
        <w:spacing w:before="0" w:beforeAutospacing="0" w:after="66" w:afterAutospacing="0" w:line="259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Признаков выполнения капитального ремонта и/или реконструкции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не доверять данному заключению у мирового судьи не имеется, поскольку оно содержит в себе развернутые ответы на поставленные перед экспертом вопросы. Эксперт был предупрежден об административной ответственности за заведомо ложное заключение.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 же указанные в заключени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экспертизы выводы подтверждены экспертом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допрошенным в судебном заседании.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Данные указанные в информационной справке представленной Службой государственного строительного надзора Республики Крым от 16.04.2019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объекту расположенному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161-170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том, что ООО «Отель «Чайка» ведутся строительные работы по реконструкции вышеуказанного объекта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мировым судьей не могут быть приняты во внимание,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rtl w:val="0"/>
        </w:rPr>
        <w:t>опровергаются заключением эксперта.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материалы дела не содержат достаточных доказательств,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дтверждающих, что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инкриминируемое ему правонарушение.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</w:t>
      </w:r>
      <w:hyperlink r:id="rId4" w:anchor="/document/12125267/entry/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1.5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лицо подлежит административной ответственности только за те правонарушения, в отношении которых установлена его вина. При этом лицо, привлекаемое к административной ответственности, не обязано доказывать свою невиновность. Все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в судебном заседании не установлено бесспорных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оказательств вины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8"/>
          <w:rtl w:val="0"/>
        </w:rPr>
        <w:t>, то все сомнения должны быть истолкованы в его пользу.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</w:t>
      </w:r>
      <w:r>
        <w:rPr>
          <w:rFonts w:ascii="Times New Roman" w:eastAsia="Times New Roman" w:hAnsi="Times New Roman" w:cs="Times New Roman"/>
          <w:sz w:val="28"/>
          <w:rtl w:val="0"/>
        </w:rPr>
        <w:t>м обр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азом,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отсутствует состав административного правонарушения, предусмотренного </w:t>
      </w:r>
      <w:hyperlink r:id="rId4" w:anchor="/document/12125267/entry/95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. 1 ст. 9.5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</w:t>
      </w:r>
      <w:hyperlink r:id="rId4" w:anchor="/document/12125267/entry/2452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п. 2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ч.1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ст.ст. 29.10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hyperlink r:id="rId4" w:anchor="/document/12125267/entry/291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29.11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правонарушении, предусмотренном </w:t>
      </w:r>
      <w:hyperlink r:id="rId4" w:anchor="/document/12125267/entry/95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. 1 ст. 9.5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РФ об административных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ниях,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ответственностью «Отель «Чайка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Гришко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Дмитрия Анатольевича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прекратить по </w:t>
      </w:r>
      <w:hyperlink r:id="rId4" w:anchor="/document/12125267/entry/244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п. 2 ч. 1 ст. 24.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РФ об административных правонарушениях, в связи с отсутствием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А.И.Панов</w:t>
      </w:r>
    </w:p>
    <w:p>
      <w:pPr>
        <w:bidi w:val="0"/>
        <w:spacing w:before="0" w:beforeAutospacing="0" w:after="0" w:afterAutospacing="0" w:line="276" w:lineRule="auto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