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3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среднее-специальное образование, неженатого,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проживающий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 Масловым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установленные вышеуказанным решением суда ограничения, а </w:t>
      </w:r>
      <w:r>
        <w:rPr>
          <w:rFonts w:ascii="Times New Roman" w:eastAsia="Times New Roman" w:hAnsi="Times New Roman" w:cs="Times New Roman"/>
          <w:sz w:val="26"/>
          <w:rtl w:val="0"/>
        </w:rPr>
        <w:t>именно находился вне жилого помещения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из-за конфликта в семье.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Разрешение на пребывание вне жилого помещения по месту пребывания или жительства им не испрашивалось.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 ему известно, ранее он привлечен к ответственности по ч. 1 ст. 19.24 КоАП РФ, постановление не обжаловал. В содеянном раскаивается.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3 ст. 19.24 КоАП РФ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совершении доказана и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210517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21 часа он отсутствовал дома, вернулся около 01 часа ночи следующего дня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помощи, </w:t>
      </w:r>
      <w:r>
        <w:rPr>
          <w:rFonts w:ascii="Times New Roman" w:eastAsia="Times New Roman" w:hAnsi="Times New Roman" w:cs="Times New Roman"/>
          <w:sz w:val="26"/>
          <w:rtl w:val="0"/>
        </w:rPr>
        <w:t>запре</w:t>
      </w:r>
      <w:r>
        <w:rPr>
          <w:rFonts w:ascii="Times New Roman" w:eastAsia="Times New Roman" w:hAnsi="Times New Roman" w:cs="Times New Roman"/>
          <w:sz w:val="26"/>
          <w:rtl w:val="0"/>
        </w:rPr>
        <w:t>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посещения мест,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где осуществляется реализация спиртных напитков на розлив,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запрета посещения мест проведения массовых мероприятий и участия в них,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раза </w:t>
      </w:r>
      <w:r>
        <w:rPr>
          <w:rFonts w:ascii="Times New Roman" w:eastAsia="Times New Roman" w:hAnsi="Times New Roman" w:cs="Times New Roman"/>
          <w:sz w:val="26"/>
          <w:rtl w:val="0"/>
        </w:rPr>
        <w:t>в месяц в орган внутренних дел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Масловым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привлекался к административной ответственности по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он отсутствовал по месту жительства после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без разрешения органа ОВД по месту жительства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 по месту жительства или пребывания после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 работ на срок 20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