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3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122</w:t>
      </w:r>
      <w:r>
        <w:rPr>
          <w:rFonts w:ascii="Times New Roman" w:eastAsia="Times New Roman" w:hAnsi="Times New Roman" w:cs="Times New Roman"/>
          <w:sz w:val="25"/>
          <w:rtl w:val="0"/>
        </w:rPr>
        <w:t>/20</w:t>
      </w:r>
      <w:r>
        <w:rPr>
          <w:rFonts w:ascii="Times New Roman" w:eastAsia="Times New Roman" w:hAnsi="Times New Roman" w:cs="Times New Roman"/>
          <w:sz w:val="25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08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июля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судебного участка № 70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с участием Кащаевой В.В.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рассмотрев в открытом судебном заседании материалы дела об административном правонарушение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Председателя правления ТСЖ «Феникс – Саки» </w:t>
      </w:r>
      <w:r>
        <w:rPr>
          <w:rFonts w:ascii="Times New Roman" w:eastAsia="Times New Roman" w:hAnsi="Times New Roman" w:cs="Times New Roman"/>
          <w:sz w:val="24"/>
          <w:rtl w:val="0"/>
        </w:rPr>
        <w:t>Кащаевой Валентины Владимировны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гражданки Российской Федерации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работающей </w:t>
      </w:r>
      <w:r>
        <w:rPr>
          <w:rFonts w:ascii="Times New Roman" w:eastAsia="Times New Roman" w:hAnsi="Times New Roman" w:cs="Times New Roman"/>
          <w:sz w:val="24"/>
          <w:rtl w:val="0"/>
        </w:rPr>
        <w:t>предсе</w:t>
      </w:r>
      <w:r>
        <w:rPr>
          <w:rFonts w:ascii="Times New Roman" w:eastAsia="Times New Roman" w:hAnsi="Times New Roman" w:cs="Times New Roman"/>
          <w:sz w:val="24"/>
          <w:rtl w:val="0"/>
        </w:rPr>
        <w:t>дателем правления ТСЖ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«Феникс – Саки»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зарегистрированной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 проживающей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 адресу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</w:t>
      </w:r>
      <w:r>
        <w:rPr>
          <w:rFonts w:ascii="Times New Roman" w:eastAsia="Times New Roman" w:hAnsi="Times New Roman" w:cs="Times New Roman"/>
          <w:sz w:val="24"/>
          <w:rtl w:val="0"/>
        </w:rPr>
        <w:t>каемой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ст.13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19.2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08.06.2020г. в отношении Кащаевой В.В.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как должностного лица, Заместителем Скаского межрайонного прокурора вынесено постановление о возбуждении дела об административном правонарушении, действия </w:t>
      </w:r>
      <w:r>
        <w:rPr>
          <w:rFonts w:ascii="Times New Roman" w:eastAsia="Times New Roman" w:hAnsi="Times New Roman" w:cs="Times New Roman"/>
          <w:sz w:val="24"/>
          <w:rtl w:val="0"/>
        </w:rPr>
        <w:t>Кащаевой В.В.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квалифицированы по </w:t>
      </w:r>
      <w:hyperlink r:id="rId4" w:anchor="/document/12125267/entry/131922" w:history="1"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 xml:space="preserve">. 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2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ст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 xml:space="preserve">. 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13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19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 за то, что она, являясь пре</w:t>
      </w:r>
      <w:r>
        <w:rPr>
          <w:rFonts w:ascii="Times New Roman" w:eastAsia="Times New Roman" w:hAnsi="Times New Roman" w:cs="Times New Roman"/>
          <w:sz w:val="24"/>
          <w:rtl w:val="0"/>
        </w:rPr>
        <w:t>дседателем правления ТСЖ «Феникс – Саки»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осуществляя деятельность по управлению многоквартирным домом, допустила </w:t>
      </w:r>
      <w:r>
        <w:rPr>
          <w:rFonts w:ascii="Times New Roman" w:eastAsia="Times New Roman" w:hAnsi="Times New Roman" w:cs="Times New Roman"/>
          <w:sz w:val="24"/>
          <w:rtl w:val="0"/>
        </w:rPr>
        <w:t>не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полное </w:t>
      </w:r>
      <w:r>
        <w:rPr>
          <w:rFonts w:ascii="Times New Roman" w:eastAsia="Times New Roman" w:hAnsi="Times New Roman" w:cs="Times New Roman"/>
          <w:sz w:val="24"/>
          <w:rtl w:val="0"/>
        </w:rPr>
        <w:t>размещение и</w:t>
      </w:r>
      <w:r>
        <w:rPr>
          <w:rFonts w:ascii="Times New Roman" w:eastAsia="Times New Roman" w:hAnsi="Times New Roman" w:cs="Times New Roman"/>
          <w:sz w:val="24"/>
          <w:rtl w:val="0"/>
        </w:rPr>
        <w:t>нформации в соответствии с законодательством Российской Федерации в государственной информационной системе жилищно-коммунального хозяйства.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4"/>
          <w:rtl w:val="0"/>
        </w:rPr>
        <w:t>Кащаева В.В.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в совершении правонарушения признала, обстоятельства, изложенные в протоколе, подтвердила, суду пояснила, что в ближайшее время устранит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нарушения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Заслушав </w:t>
      </w:r>
      <w:r>
        <w:rPr>
          <w:rFonts w:ascii="Times New Roman" w:eastAsia="Times New Roman" w:hAnsi="Times New Roman" w:cs="Times New Roman"/>
          <w:sz w:val="24"/>
          <w:rtl w:val="0"/>
        </w:rPr>
        <w:t>Кащаеву В.В.</w:t>
      </w:r>
      <w:r>
        <w:rPr>
          <w:rFonts w:ascii="Times New Roman" w:eastAsia="Times New Roman" w:hAnsi="Times New Roman" w:cs="Times New Roman"/>
          <w:sz w:val="24"/>
          <w:rtl w:val="0"/>
        </w:rPr>
        <w:t>, 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сследовав письменные доказательства и фактические данные в совокупности, суд приходит к выводу, что вина </w:t>
      </w:r>
      <w:r>
        <w:rPr>
          <w:rFonts w:ascii="Times New Roman" w:eastAsia="Times New Roman" w:hAnsi="Times New Roman" w:cs="Times New Roman"/>
          <w:sz w:val="24"/>
          <w:rtl w:val="0"/>
        </w:rPr>
        <w:t>Кащаевой В.В.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во вменяемом 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правонарушении нашла свое подтверждение в судебном заседании, исходя из следующего.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ТС</w:t>
      </w:r>
      <w:r>
        <w:rPr>
          <w:rFonts w:ascii="Times New Roman" w:eastAsia="Times New Roman" w:hAnsi="Times New Roman" w:cs="Times New Roman"/>
          <w:sz w:val="24"/>
          <w:rtl w:val="0"/>
        </w:rPr>
        <w:t>Ж «Феникс – Саки»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является действующим юридическим лицом, зарегистрировано по адресу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устава Т</w:t>
      </w:r>
      <w:r>
        <w:rPr>
          <w:rFonts w:ascii="Times New Roman" w:eastAsia="Times New Roman" w:hAnsi="Times New Roman" w:cs="Times New Roman"/>
          <w:sz w:val="24"/>
          <w:rtl w:val="0"/>
        </w:rPr>
        <w:t>СЖ «Феникс – Саки»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осуществляет управлени</w:t>
      </w:r>
      <w:r>
        <w:rPr>
          <w:rFonts w:ascii="Times New Roman" w:eastAsia="Times New Roman" w:hAnsi="Times New Roman" w:cs="Times New Roman"/>
          <w:sz w:val="24"/>
          <w:rtl w:val="0"/>
        </w:rPr>
        <w:t>ем до</w:t>
      </w:r>
      <w:r>
        <w:rPr>
          <w:rFonts w:ascii="Times New Roman" w:eastAsia="Times New Roman" w:hAnsi="Times New Roman" w:cs="Times New Roman"/>
          <w:sz w:val="24"/>
          <w:rtl w:val="0"/>
        </w:rPr>
        <w:t>мом №7 по ул. Санаторной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г. Саки.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21</w:t>
      </w:r>
      <w:r>
        <w:rPr>
          <w:rFonts w:ascii="Times New Roman" w:eastAsia="Times New Roman" w:hAnsi="Times New Roman" w:cs="Times New Roman"/>
          <w:sz w:val="24"/>
          <w:rtl w:val="0"/>
        </w:rPr>
        <w:t>.05.2020г.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19</w:t>
      </w:r>
      <w:r>
        <w:rPr>
          <w:rFonts w:ascii="Times New Roman" w:eastAsia="Times New Roman" w:hAnsi="Times New Roman" w:cs="Times New Roman"/>
          <w:sz w:val="24"/>
          <w:rtl w:val="0"/>
        </w:rPr>
        <w:t>.06.2020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Сакской межрайонной прокуратурой по поручению прокуратуры Республики Крым от 19.05.2020г. Исуб-7/2-8129-20/-20350001 проведена проверка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исполнения уполномоченными лицами </w:t>
      </w:r>
      <w:r>
        <w:rPr>
          <w:rFonts w:ascii="Times New Roman" w:eastAsia="Times New Roman" w:hAnsi="Times New Roman" w:cs="Times New Roman"/>
          <w:sz w:val="24"/>
          <w:rtl w:val="0"/>
        </w:rPr>
        <w:t>ТСЖ «Феникс – Саки»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требований Федерального закона от 21.07.2014г. №209-ФЗ «О государственной информационной системе жилищно-коммунального хозяйства»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по результатам проверки вынесено постановление о возбуждении дела об административном правонарушении, согласно которого, в ходе проверки были выявлены нарушения, связанные с размещением </w:t>
      </w:r>
      <w:r>
        <w:rPr>
          <w:rFonts w:ascii="Times New Roman" w:eastAsia="Times New Roman" w:hAnsi="Times New Roman" w:cs="Times New Roman"/>
          <w:sz w:val="24"/>
          <w:rtl w:val="0"/>
        </w:rPr>
        <w:t>не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полном объ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еме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 сайте ГИС "ЖКХ" - </w:t>
      </w:r>
      <w:r>
        <w:rPr>
          <w:rFonts w:ascii="Times New Roman" w:eastAsia="Times New Roman" w:hAnsi="Times New Roman" w:cs="Times New Roman"/>
          <w:sz w:val="24"/>
          <w:rtl w:val="0"/>
        </w:rPr>
        <w:t>https://</w:t>
      </w:r>
      <w:r>
        <w:rPr>
          <w:rFonts w:ascii="Times New Roman" w:eastAsia="Times New Roman" w:hAnsi="Times New Roman" w:cs="Times New Roman"/>
          <w:sz w:val="24"/>
          <w:rtl w:val="0"/>
        </w:rPr>
        <w:t>dom.gosuslugi.ru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сведений в отнош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ении </w:t>
      </w:r>
      <w:r>
        <w:rPr>
          <w:rFonts w:ascii="Times New Roman" w:eastAsia="Times New Roman" w:hAnsi="Times New Roman" w:cs="Times New Roman"/>
          <w:sz w:val="24"/>
          <w:rtl w:val="0"/>
        </w:rPr>
        <w:t>дома №7 по ул. Санаторная</w:t>
      </w:r>
      <w:r>
        <w:rPr>
          <w:rFonts w:ascii="Times New Roman" w:eastAsia="Times New Roman" w:hAnsi="Times New Roman" w:cs="Times New Roman"/>
          <w:sz w:val="24"/>
          <w:rtl w:val="0"/>
        </w:rPr>
        <w:t>, а именно: размещение техниче</w:t>
      </w:r>
      <w:r>
        <w:rPr>
          <w:rFonts w:ascii="Times New Roman" w:eastAsia="Times New Roman" w:hAnsi="Times New Roman" w:cs="Times New Roman"/>
          <w:sz w:val="24"/>
          <w:rtl w:val="0"/>
        </w:rPr>
        <w:t>ских характеристик составляет 54,8</w:t>
      </w:r>
      <w:r>
        <w:rPr>
          <w:rFonts w:ascii="Times New Roman" w:eastAsia="Times New Roman" w:hAnsi="Times New Roman" w:cs="Times New Roman"/>
          <w:sz w:val="24"/>
          <w:rtl w:val="0"/>
        </w:rPr>
        <w:t>0 %, количество помещений, по которым размещён один и более ЛС соста</w:t>
      </w:r>
      <w:r>
        <w:rPr>
          <w:rFonts w:ascii="Times New Roman" w:eastAsia="Times New Roman" w:hAnsi="Times New Roman" w:cs="Times New Roman"/>
          <w:sz w:val="24"/>
          <w:rtl w:val="0"/>
        </w:rPr>
        <w:t>вляет 51,40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%, количество ЛС, по которым выставлен один и более ПД за предыдущий расчётный период составляет 0,00%, количество ЛС, по которым выставлен один и более ПД за позапрошлый расчётный период составляет 0,00%, количество помещений, по которым размещён один и более ИПУ составляет </w:t>
      </w:r>
      <w:r>
        <w:rPr>
          <w:rFonts w:ascii="Times New Roman" w:eastAsia="Times New Roman" w:hAnsi="Times New Roman" w:cs="Times New Roman"/>
          <w:sz w:val="24"/>
          <w:rtl w:val="0"/>
        </w:rPr>
        <w:t>2,70</w:t>
      </w:r>
      <w:r>
        <w:rPr>
          <w:rFonts w:ascii="Times New Roman" w:eastAsia="Times New Roman" w:hAnsi="Times New Roman" w:cs="Times New Roman"/>
          <w:sz w:val="24"/>
          <w:rtl w:val="0"/>
        </w:rPr>
        <w:t>%;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Данный факт, по</w:t>
      </w:r>
      <w:r>
        <w:rPr>
          <w:rFonts w:ascii="Times New Roman" w:eastAsia="Times New Roman" w:hAnsi="Times New Roman" w:cs="Times New Roman"/>
          <w:sz w:val="24"/>
          <w:rtl w:val="0"/>
        </w:rPr>
        <w:t>дтверждается распечатками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(скриншотом) страницы htt</w:t>
      </w:r>
      <w:r>
        <w:rPr>
          <w:rFonts w:ascii="Times New Roman" w:eastAsia="Times New Roman" w:hAnsi="Times New Roman" w:cs="Times New Roman"/>
          <w:sz w:val="24"/>
          <w:rtl w:val="0"/>
        </w:rPr>
        <w:t>ps://dom.gosuslugi.ru/.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Указанные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обстоятельства послужили основанием для возбуждения в отношении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4"/>
          <w:rtl w:val="0"/>
        </w:rPr>
        <w:t>едседателя правл</w:t>
      </w:r>
      <w:r>
        <w:rPr>
          <w:rFonts w:ascii="Times New Roman" w:eastAsia="Times New Roman" w:hAnsi="Times New Roman" w:cs="Times New Roman"/>
          <w:sz w:val="24"/>
          <w:rtl w:val="0"/>
        </w:rPr>
        <w:t>ения ТСЖ «Феникс – Саки» Кащаевой В.В.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дела об административном правонарушении, предусмотренном </w:t>
      </w:r>
      <w:hyperlink r:id="rId4" w:anchor="/document/12125267/entry/131922" w:history="1"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 xml:space="preserve">. 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2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ст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 xml:space="preserve">. 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13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19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2</w:t>
        </w:r>
      </w:hyperlink>
      <w:r>
        <w:rPr>
          <w:rFonts w:ascii="Times New Roman" w:eastAsia="Times New Roman" w:hAnsi="Times New Roman" w:cs="Times New Roman"/>
          <w:i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hyperlink r:id="rId4" w:anchor="/document/12125267/entry/131922" w:history="1"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С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т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 xml:space="preserve">. 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13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19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2</w:t>
        </w:r>
      </w:hyperlink>
      <w:r>
        <w:rPr>
          <w:rFonts w:ascii="Times New Roman" w:eastAsia="Times New Roman" w:hAnsi="Times New Roman" w:cs="Times New Roman"/>
          <w:i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ч.2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 предусмотрена административная ответственность за 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хозяйства, влечет предупреждение или наложение административного штрафа на должностных лиц в размере от пяти тысяч до десяти тысяч рублей.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Таким образом, для квалификации действий лица по </w:t>
      </w:r>
      <w:hyperlink r:id="rId4" w:anchor="/document/12125267/entry/131922" w:history="1"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 xml:space="preserve">. 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2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ст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 xml:space="preserve">. 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13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19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2</w:t>
        </w:r>
      </w:hyperlink>
      <w:r>
        <w:rPr>
          <w:rFonts w:ascii="Times New Roman" w:eastAsia="Times New Roman" w:hAnsi="Times New Roman" w:cs="Times New Roman"/>
          <w:i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i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необходимо установить, в частности, совокупность следующих фактов: осуществление лицом деятельности по управлению многоквартирными домами; 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либо размещение информации не в полном объеме.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соответствии со </w:t>
      </w:r>
      <w:hyperlink r:id="rId4" w:anchor="/document/12138291/entry/161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ст.161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ЖК РФ деятельность по управлению многоквартирными домами осуществляется на основании лицензии на ее осуществление, за исключением случая осуществления такой деятельности товариществом собственников жилья, жилищным кооперативом или иным специализированным потребительским кооперативом и предусмотренного </w:t>
      </w:r>
      <w:hyperlink r:id="rId4" w:anchor="/document/12138291/entry/1203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частью 3 статьи 200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настоящего Кодекса случая.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силу </w:t>
      </w:r>
      <w:hyperlink r:id="rId4" w:anchor="/document/12138291/entry/161101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ч. 10.1 ст. 161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Жилищного кодекса Российской определено, что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 посредством ее размещения в системе. Порядок, состав,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документов, предусмотренных </w:t>
      </w:r>
      <w:hyperlink r:id="rId4" w:anchor="/document/12138291/entry/0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настоящим Кодексом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если иной срок размещения в системе указанной информации не установлен федеральным законом.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соответствии со ст. 155 </w:t>
      </w:r>
      <w:r>
        <w:rPr>
          <w:rFonts w:ascii="Times New Roman" w:eastAsia="Times New Roman" w:hAnsi="Times New Roman" w:cs="Times New Roman"/>
          <w:sz w:val="24"/>
          <w:rtl w:val="0"/>
        </w:rPr>
        <w:t>ч.</w:t>
      </w:r>
      <w:r>
        <w:rPr>
          <w:rFonts w:ascii="Times New Roman" w:eastAsia="Times New Roman" w:hAnsi="Times New Roman" w:cs="Times New Roman"/>
          <w:sz w:val="24"/>
          <w:rtl w:val="0"/>
        </w:rPr>
        <w:t>ч.2</w:t>
      </w:r>
      <w:r>
        <w:rPr>
          <w:rFonts w:ascii="Times New Roman" w:eastAsia="Times New Roman" w:hAnsi="Times New Roman" w:cs="Times New Roman"/>
          <w:sz w:val="24"/>
          <w:rtl w:val="0"/>
        </w:rPr>
        <w:t>, 2.1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ЖК РФ плата за жилое помещение и коммунальные услуги вносится на основании: 1)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платежных документов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(в том числе платежных документов в электронной форме, размещенных в системе), представленных не позднее первого числа месяца, следующего за истекшим месяцем, если иной срок не установлен договором </w:t>
      </w:r>
      <w:r>
        <w:rPr>
          <w:rFonts w:ascii="Times New Roman" w:eastAsia="Times New Roman" w:hAnsi="Times New Roman" w:cs="Times New Roman"/>
          <w:sz w:val="24"/>
          <w:rtl w:val="0"/>
        </w:rPr>
        <w:t>управления многоквартирным домом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либо решением общего собрания членов товарищества собственников жилья, жилищного кооператива или иного специализированного потребительского кооператива; 2) информации о размере платы за жилое помещение и коммунальные услуги, задолженности по оплате жилых помещений и коммунальных услуг, размещенной в системе или в иных информационных системах, </w:t>
      </w:r>
      <w:r>
        <w:rPr>
          <w:rFonts w:ascii="Times New Roman" w:eastAsia="Times New Roman" w:hAnsi="Times New Roman" w:cs="Times New Roman"/>
          <w:sz w:val="24"/>
          <w:rtl w:val="0"/>
        </w:rPr>
        <w:t>позволяющих внести плату за жилое помещение и коммунальные услуги.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системе, сведения,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Платежные документы,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срок, предусмотренный </w:t>
      </w:r>
      <w:hyperlink w:anchor="Par0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частью 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настоящей статьи.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ч.ч.4,5 ст. 164 ЖК РФ организации, осуществляющие поставки ресурсов, необходимых для предоставления коммунальных услуг, а также лица, оказывающие услуги, выполняющие работы по содержанию и ремонту общего имущества собственников помещений в многоквартирных домах и предоставляющие коммунальные услуги, обязаны размещать в системе информацию, предусмотренную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о государственной информационной системе жилищно-коммунального хозяйства. Порядок, формы,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сроки и периодичность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размещения в системе информации, указанной в </w:t>
      </w:r>
      <w:hyperlink w:anchor="Par0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части 4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настоящей статьи,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если иной срок размещения в системе указанной информации не установлен федеральным законом.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Государственная информационная система жилищно-коммунального хозяйства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 (</w:t>
      </w:r>
      <w:hyperlink r:id="rId4" w:anchor="/document/70700450/entry/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 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Федерального закона от 21.07.2014 г. N209-ФЗ "О государственной информационной системе жилищно-коммунального хозяйства").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Приказом Минстроя России и Минкомсвязи России от 30.12.2014 г. N04/934/пр "Об определении официального сайта государственной информационной системы жилищно-коммунального хозяйства в информационно-телекоммуникационной сети "Интернет" официальным сайтом системы определен https://dom.gosuslugi.ru.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Виды информации, подлежащей размещению в системе, определены </w:t>
      </w:r>
      <w:hyperlink r:id="rId4" w:anchor="/document/70700450/entry/6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 6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Федерального закона от 21.07.2014 г. N209-ФЗ "О государственной информационной системе жилищно-коммунального хозяйства", а порядок, состав, способы, сроки и периодичность размещения информации лицами, осуществляющими деятельность по управлению многоквартирными домами, обязательное размещение которой предусмотрено приведенным законом, - разд.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10 Приказа Минкомсвязи России №74, Минстроя России №</w:t>
      </w:r>
      <w:r>
        <w:rPr>
          <w:rFonts w:ascii="Times New Roman" w:eastAsia="Times New Roman" w:hAnsi="Times New Roman" w:cs="Times New Roman"/>
          <w:sz w:val="24"/>
          <w:rtl w:val="0"/>
        </w:rPr>
        <w:t>114/пр от 29.02.2016 г.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ТСЖ «Феникс – Саки»</w:t>
      </w:r>
      <w:r>
        <w:rPr>
          <w:rFonts w:ascii="Times New Roman" w:eastAsia="Times New Roman" w:hAnsi="Times New Roman" w:cs="Times New Roman"/>
          <w:sz w:val="24"/>
          <w:rtl w:val="0"/>
        </w:rPr>
        <w:t>, осуществляя деятельность по управ</w:t>
      </w:r>
      <w:r>
        <w:rPr>
          <w:rFonts w:ascii="Times New Roman" w:eastAsia="Times New Roman" w:hAnsi="Times New Roman" w:cs="Times New Roman"/>
          <w:sz w:val="24"/>
          <w:rtl w:val="0"/>
        </w:rPr>
        <w:t>лению многоквартирным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домом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№7 по ул. Санаторной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г. Саки.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допустило размещение </w:t>
      </w:r>
      <w:r>
        <w:rPr>
          <w:rFonts w:ascii="Times New Roman" w:eastAsia="Times New Roman" w:hAnsi="Times New Roman" w:cs="Times New Roman"/>
          <w:sz w:val="24"/>
          <w:rtl w:val="0"/>
        </w:rPr>
        <w:t>не в полном объ</w:t>
      </w:r>
      <w:r>
        <w:rPr>
          <w:rFonts w:ascii="Times New Roman" w:eastAsia="Times New Roman" w:hAnsi="Times New Roman" w:cs="Times New Roman"/>
          <w:sz w:val="24"/>
          <w:rtl w:val="0"/>
        </w:rPr>
        <w:t>еме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системе информации, указ</w:t>
      </w:r>
      <w:r>
        <w:rPr>
          <w:rFonts w:ascii="Times New Roman" w:eastAsia="Times New Roman" w:hAnsi="Times New Roman" w:cs="Times New Roman"/>
          <w:sz w:val="24"/>
          <w:rtl w:val="0"/>
        </w:rPr>
        <w:t>анной в постановлении о возбуждении дела об административном правонарушении от 08.06.2020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в соответствии с законодательством Российской Федерации в государственной информационной системе жилищно-коммунального хозяйства, что является правонарушением, предусмотренным </w:t>
      </w:r>
      <w:hyperlink r:id="rId4" w:anchor="/document/12125267/entry/131922" w:history="1"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 xml:space="preserve">. 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2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ст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 xml:space="preserve">. 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13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19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2</w:t>
        </w:r>
      </w:hyperlink>
      <w:r>
        <w:rPr>
          <w:rFonts w:ascii="Times New Roman" w:eastAsia="Times New Roman" w:hAnsi="Times New Roman" w:cs="Times New Roman"/>
          <w:i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</w:t>
      </w:r>
      <w:r>
        <w:rPr>
          <w:rFonts w:ascii="Times New Roman" w:eastAsia="Times New Roman" w:hAnsi="Times New Roman" w:cs="Times New Roman"/>
          <w:sz w:val="24"/>
          <w:rtl w:val="0"/>
        </w:rPr>
        <w:t>ласно устава,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Товарище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>во собственников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жилья «Феникс – Саки»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является действующим юридическим лицом, лицом, имеющим право действовать от имени юридического лица без доверенности являетс</w:t>
      </w:r>
      <w:r>
        <w:rPr>
          <w:rFonts w:ascii="Times New Roman" w:eastAsia="Times New Roman" w:hAnsi="Times New Roman" w:cs="Times New Roman"/>
          <w:sz w:val="24"/>
          <w:rtl w:val="0"/>
        </w:rPr>
        <w:t>я председатель правлени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я – </w:t>
      </w:r>
      <w:r>
        <w:rPr>
          <w:rFonts w:ascii="Times New Roman" w:eastAsia="Times New Roman" w:hAnsi="Times New Roman" w:cs="Times New Roman"/>
          <w:sz w:val="24"/>
          <w:rtl w:val="0"/>
        </w:rPr>
        <w:t>Кащаева Валентина Владимировна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Ответственным за размещение в системе предусмотренной </w:t>
      </w:r>
      <w:hyperlink r:id="rId4" w:anchor="/document/70700450/entry/0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Федеральным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от 21.07.2014 г. N209-ФЗ "О государственной информационной системе жилищно-коммунального хозяйства" информации является пре</w:t>
      </w:r>
      <w:r>
        <w:rPr>
          <w:rFonts w:ascii="Times New Roman" w:eastAsia="Times New Roman" w:hAnsi="Times New Roman" w:cs="Times New Roman"/>
          <w:sz w:val="24"/>
          <w:rtl w:val="0"/>
        </w:rPr>
        <w:t>дсе</w:t>
      </w:r>
      <w:r>
        <w:rPr>
          <w:rFonts w:ascii="Times New Roman" w:eastAsia="Times New Roman" w:hAnsi="Times New Roman" w:cs="Times New Roman"/>
          <w:sz w:val="24"/>
          <w:rtl w:val="0"/>
        </w:rPr>
        <w:t>датель правления Кащаева В.В.</w:t>
      </w:r>
      <w:r>
        <w:rPr>
          <w:rFonts w:ascii="Times New Roman" w:eastAsia="Times New Roman" w:hAnsi="Times New Roman" w:cs="Times New Roman"/>
          <w:sz w:val="24"/>
          <w:rtl w:val="0"/>
        </w:rPr>
        <w:t>, которая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обладая организационно-распорядительными функциями, </w:t>
      </w:r>
      <w:r>
        <w:rPr>
          <w:rFonts w:ascii="Times New Roman" w:eastAsia="Times New Roman" w:hAnsi="Times New Roman" w:cs="Times New Roman"/>
          <w:sz w:val="24"/>
          <w:rtl w:val="0"/>
        </w:rPr>
        <w:t>ненадлежащим образом исполнил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свои должностные обязанности.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так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их </w:t>
      </w:r>
      <w:r>
        <w:rPr>
          <w:rFonts w:ascii="Times New Roman" w:eastAsia="Times New Roman" w:hAnsi="Times New Roman" w:cs="Times New Roman"/>
          <w:sz w:val="24"/>
          <w:rtl w:val="0"/>
        </w:rPr>
        <w:t>обстоятельствах, Кащаева В.В.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совершил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предусмотренное </w:t>
      </w:r>
      <w:hyperlink r:id="rId4" w:anchor="/document/12125267/entry/131922" w:history="1"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 xml:space="preserve">. 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2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ст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13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19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Обстоятельств, исключающих производство по делу об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i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правонарушении, предусмотренных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КоАП РФ, не усматривается.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Обстоятельством, смягчающим административную ответственность, при рассмотрении дела установлено совершение правон</w:t>
      </w:r>
      <w:r>
        <w:rPr>
          <w:rFonts w:ascii="Times New Roman" w:eastAsia="Times New Roman" w:hAnsi="Times New Roman" w:cs="Times New Roman"/>
          <w:sz w:val="24"/>
          <w:rtl w:val="0"/>
        </w:rPr>
        <w:t>арушения впервые, раскаяние в содеяном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отягчающих ответственность, судом не установлено.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Санкция </w:t>
      </w:r>
      <w:hyperlink r:id="rId4" w:anchor="/document/12125267/entry/131922" w:history="1"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 xml:space="preserve">. 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2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ст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 xml:space="preserve">. 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13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19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 предусматривает наказание в виде предупреждения или наложение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штрафа на должностных лиц в размере от пяти тысяч до десяти тысяч рублей.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Учитывая, установленные по делу обстоятельства, личность виновного, принимая во внимание то, что административное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совершено лицом, привлекаемым к административной ответственности впервые, и не повлекло последствий, предусмотренных </w:t>
      </w:r>
      <w:hyperlink r:id="rId4" w:anchor="/document/12125267/entry/34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ст.3.4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РФ, полагаю необходимым назначить наказание в виде предупреждения.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вышеизложенного, руководствуясь </w:t>
      </w:r>
      <w:hyperlink r:id="rId4" w:anchor="/document/12125267/entry/291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ст.ст. 29.1-29.10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РФ, суд, -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председателя правления </w:t>
      </w:r>
      <w:r>
        <w:rPr>
          <w:rFonts w:ascii="Times New Roman" w:eastAsia="Times New Roman" w:hAnsi="Times New Roman" w:cs="Times New Roman"/>
          <w:sz w:val="24"/>
          <w:rtl w:val="0"/>
        </w:rPr>
        <w:t>товарище</w:t>
      </w:r>
      <w:r>
        <w:rPr>
          <w:rFonts w:ascii="Times New Roman" w:eastAsia="Times New Roman" w:hAnsi="Times New Roman" w:cs="Times New Roman"/>
          <w:sz w:val="24"/>
          <w:rtl w:val="0"/>
        </w:rPr>
        <w:t>ств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 собственников жилья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«Феникс – Саки» </w:t>
      </w:r>
      <w:r>
        <w:rPr>
          <w:rFonts w:ascii="Times New Roman" w:eastAsia="Times New Roman" w:hAnsi="Times New Roman" w:cs="Times New Roman"/>
          <w:sz w:val="24"/>
          <w:rtl w:val="0"/>
        </w:rPr>
        <w:t>Кащаеву Валентину Владимировну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признать виновной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административного правонарушения, предусмотренного </w:t>
      </w:r>
      <w:hyperlink r:id="rId4" w:anchor="/document/12125267/entry/131922" w:history="1"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 xml:space="preserve">. 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2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ст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 xml:space="preserve">. 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13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19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2</w:t>
        </w:r>
      </w:hyperlink>
      <w:r>
        <w:rPr>
          <w:rFonts w:ascii="Times New Roman" w:eastAsia="Times New Roman" w:hAnsi="Times New Roman" w:cs="Times New Roman"/>
          <w:i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Кодекса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Российской Федерации об</w:t>
      </w:r>
      <w:r>
        <w:rPr>
          <w:rFonts w:ascii="Times New Roman" w:eastAsia="Times New Roman" w:hAnsi="Times New Roman" w:cs="Times New Roman"/>
          <w:i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i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4"/>
          <w:rtl w:val="0"/>
        </w:rPr>
        <w:t>, и назначить 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наказание в виде предупреждения.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consultantplus://offline/ref=400A88F87FF4EA6D6E8AEF560B7880BE79E2B982EE280B428B5028387FFD57EDFCD8501BBA31033900D781E3FF05CEB47D34DB7F37E2AF89p6qCL" TargetMode="External" /><Relationship Id="rId6" Type="http://schemas.openxmlformats.org/officeDocument/2006/relationships/hyperlink" Target="consultantplus://offline/ref=AAAE693808FD23C1090849AD86EB9C688E778EC972220F9A79FFFA614BF074995EE4833E0469CF8072677F74CC63C4563AF8EF120C4C40ABc7x6L" TargetMode="External" /><Relationship Id="rId7" Type="http://schemas.openxmlformats.org/officeDocument/2006/relationships/hyperlink" Target="consultantplus://offline/ref=AAAE693808FD23C1090849AD86EB9C688F7A8BC471200F9A79FFFA614BF074995EE4833E0469CF8471677F74CC63C4563AF8EF120C4C40ABc7x6L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