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5-70-144/2024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№ 64-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г0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209389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25.1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51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077224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ь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 (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е)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4.3.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т.29.9, 29.10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20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