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165/2021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18 мая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Любежанина Александра Анатольевича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УССР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занимающего должность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заведующего сектором по вопросам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земельных отношений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архитектуры, градостроительства,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земельных отношений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наружной рекламы администрации 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ского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</w:t>
      </w:r>
      <w:r>
        <w:rPr>
          <w:rFonts w:ascii="Times New Roman" w:eastAsia="Times New Roman" w:hAnsi="Times New Roman" w:cs="Times New Roman"/>
          <w:sz w:val="26"/>
          <w:rtl w:val="0"/>
        </w:rPr>
        <w:t>каемо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19.7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60" w:right="0" w:firstLine="6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постановления заместителя Сакско</w:t>
      </w:r>
      <w:r>
        <w:rPr>
          <w:rFonts w:ascii="Times New Roman" w:eastAsia="Times New Roman" w:hAnsi="Times New Roman" w:cs="Times New Roman"/>
          <w:sz w:val="26"/>
          <w:rtl w:val="0"/>
        </w:rPr>
        <w:t>го межрайонного прокурора от 26.04.2021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Сакской межрайонной прокуратурой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проведена проверка 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заведующим сектором по вопросам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земельных отношений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архитектуры, градостроительства, земельных отношений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наружной рекламы администрации 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ского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положений Федерального закона от 26.12.2008 № 294-ФЗ «О защите прав юридических л</w:t>
      </w:r>
      <w:r>
        <w:rPr>
          <w:rFonts w:ascii="Times New Roman" w:eastAsia="Times New Roman" w:hAnsi="Times New Roman" w:cs="Times New Roman"/>
          <w:sz w:val="26"/>
          <w:rtl w:val="0"/>
        </w:rPr>
        <w:t>иц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индивидуальных предпринимателей при осуществлении 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сударственного контроля (надзора) и муниципального контроля» (далее - Закон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294-ФЗ) при осуществлении муниципального земельного контроля. В ходе проверки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в Сакску</w:t>
      </w:r>
      <w:r>
        <w:rPr>
          <w:rFonts w:ascii="Times New Roman" w:eastAsia="Times New Roman" w:hAnsi="Times New Roman" w:cs="Times New Roman"/>
          <w:sz w:val="26"/>
          <w:rtl w:val="0"/>
        </w:rPr>
        <w:t>ю межрайонную прокуратуру поступило заявление о согласовании внеплановой выездной проверки в отношении ООО «Аластар»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использовании земельного участка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основании распоряжения органа муниципального контроля Сакского района Республики Крым от 29.01.2021 №8-рмк. </w:t>
      </w:r>
      <w:r>
        <w:rPr>
          <w:rFonts w:ascii="Times New Roman" w:eastAsia="Times New Roman" w:hAnsi="Times New Roman" w:cs="Times New Roman"/>
          <w:sz w:val="26"/>
          <w:rtl w:val="0"/>
        </w:rPr>
        <w:t>Решением Сакск</w:t>
      </w:r>
      <w:r>
        <w:rPr>
          <w:rFonts w:ascii="Times New Roman" w:eastAsia="Times New Roman" w:hAnsi="Times New Roman" w:cs="Times New Roman"/>
          <w:sz w:val="26"/>
          <w:rtl w:val="0"/>
        </w:rPr>
        <w:t>ой межрайонной прокуратуры от 08.02.2021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Исорг-20350021-585-21/1305-20350021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проведение вышеуказанной внеплановой проверки согласовано.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12.02.2021 в 11.30 часов </w:t>
      </w:r>
      <w:r>
        <w:rPr>
          <w:rFonts w:ascii="Times New Roman" w:eastAsia="Times New Roman" w:hAnsi="Times New Roman" w:cs="Times New Roman"/>
          <w:sz w:val="26"/>
          <w:rtl w:val="0"/>
        </w:rPr>
        <w:t>заведующим сектором по вопросам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земельных отношений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архитектуры, градостроительства, земельных отношений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наружной рекламы администрации 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ского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Любежаниным А.А. составлен акт №77/16-13/2021/1-10 о невозможности проведения проверки в отношении ООО «Аластар».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ч. 6 ст. 16 Закона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294-ФЗ Любежаниным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обязанность по направлению копии акта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невозможности проведения </w:t>
      </w:r>
      <w:r>
        <w:rPr>
          <w:rFonts w:ascii="Times New Roman" w:eastAsia="Times New Roman" w:hAnsi="Times New Roman" w:cs="Times New Roman"/>
          <w:sz w:val="26"/>
          <w:rtl w:val="0"/>
        </w:rPr>
        <w:t>проверки в адрес прокур</w:t>
      </w:r>
      <w:r>
        <w:rPr>
          <w:rFonts w:ascii="Times New Roman" w:eastAsia="Times New Roman" w:hAnsi="Times New Roman" w:cs="Times New Roman"/>
          <w:sz w:val="26"/>
          <w:rtl w:val="0"/>
        </w:rPr>
        <w:t>атуры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исполнена. В связи с чем, </w:t>
      </w:r>
      <w:r>
        <w:rPr>
          <w:rFonts w:ascii="Times New Roman" w:eastAsia="Times New Roman" w:hAnsi="Times New Roman" w:cs="Times New Roman"/>
          <w:sz w:val="26"/>
          <w:rtl w:val="0"/>
        </w:rPr>
        <w:t>Любежаниным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совершено административное правонарушение, ответственность за которое предусмотрена ст. 19.7 КоАП РФ, а именно, нарушение выразившееся в непредставлении в Сакскую межрайонную прокуратуру акта по результатам проведения вышеуказанной проверки.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Любежанин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судебное заседание не явился, уведомлен о дате судебного заседания своевременно и надлежащим образом.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Обратился в судебный участок 26.04.2021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ходатайством о рассмотрении дела в его отсутствие. В ходатайстве также указал,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с правонарушением согласен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омощник Сакского межрайонного прокуро</w:t>
      </w:r>
      <w:r>
        <w:rPr>
          <w:rFonts w:ascii="Times New Roman" w:eastAsia="Times New Roman" w:hAnsi="Times New Roman" w:cs="Times New Roman"/>
          <w:sz w:val="26"/>
          <w:rtl w:val="0"/>
        </w:rPr>
        <w:t>ра Республики Крым Мирошкина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просил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привлечь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Любежанина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19.7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помощника Сакского межрайонного прокурор</w:t>
      </w:r>
      <w:r>
        <w:rPr>
          <w:rFonts w:ascii="Times New Roman" w:eastAsia="Times New Roman" w:hAnsi="Times New Roman" w:cs="Times New Roman"/>
          <w:sz w:val="26"/>
          <w:rtl w:val="0"/>
        </w:rPr>
        <w:t>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доказательства по делу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правонарушении, суд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Любежанина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ст.19.7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установлена достаточной совокупностью доказательств.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19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 19.7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6.16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4 статьи 14.28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статьями 19.7.1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19.7.2-1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19.7.5-1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19.7.5-2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19.8.3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 6 ст.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eastAsia="Times New Roman" w:hAnsi="Times New Roman" w:cs="Times New Roman"/>
          <w:sz w:val="26"/>
          <w:rtl w:val="0"/>
        </w:rPr>
        <w:t>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имеющихся в материалах дела документов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29.01.2021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главой администрации Сакского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Республики Крым вынесено распоряжение № 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рмк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проведении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проверки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ООО «Аластар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16-18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Решением заместителя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Сакской межрайонной прокуратуры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согласовании проведения внеплановой выездной проверки от </w:t>
      </w:r>
      <w:r>
        <w:rPr>
          <w:rFonts w:ascii="Times New Roman" w:eastAsia="Times New Roman" w:hAnsi="Times New Roman" w:cs="Times New Roman"/>
          <w:sz w:val="26"/>
          <w:rtl w:val="0"/>
        </w:rPr>
        <w:t>08.02.2021</w:t>
      </w:r>
      <w:r>
        <w:rPr>
          <w:rFonts w:ascii="Times New Roman" w:eastAsia="Times New Roman" w:hAnsi="Times New Roman" w:cs="Times New Roman"/>
          <w:sz w:val="26"/>
          <w:rtl w:val="0"/>
        </w:rPr>
        <w:t>, согласовано проведение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внеплановой выездной проверки </w:t>
      </w:r>
      <w:r>
        <w:rPr>
          <w:rFonts w:ascii="Times New Roman" w:eastAsia="Times New Roman" w:hAnsi="Times New Roman" w:cs="Times New Roman"/>
          <w:sz w:val="26"/>
          <w:rtl w:val="0"/>
        </w:rPr>
        <w:t>ООО «Аластар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л.д. 32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12.02.2021г.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заведующим сектором по вопросам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земельных отношений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архитектуры, градостроительства, земельных отношений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наружной рекламы администрации 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ского района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Любежаниным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составлен акт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невозможности проведения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проверки № </w:t>
      </w:r>
      <w:r>
        <w:rPr>
          <w:rFonts w:ascii="Times New Roman" w:eastAsia="Times New Roman" w:hAnsi="Times New Roman" w:cs="Times New Roman"/>
          <w:sz w:val="26"/>
          <w:rtl w:val="0"/>
        </w:rPr>
        <w:t>77/16-13/2021/1-10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38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40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кт </w:t>
      </w:r>
      <w:r>
        <w:rPr>
          <w:rFonts w:ascii="Times New Roman" w:eastAsia="Times New Roman" w:hAnsi="Times New Roman" w:cs="Times New Roman"/>
          <w:sz w:val="26"/>
          <w:rtl w:val="0"/>
        </w:rPr>
        <w:t>о невозможности проведения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проверки № </w:t>
      </w:r>
      <w:r>
        <w:rPr>
          <w:rFonts w:ascii="Times New Roman" w:eastAsia="Times New Roman" w:hAnsi="Times New Roman" w:cs="Times New Roman"/>
          <w:sz w:val="26"/>
          <w:rtl w:val="0"/>
        </w:rPr>
        <w:t>77/16-13/2021/1-10 от 12.02.2021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Сакскую межрайонную прокурату не направлен.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Заведующий сектором по вопросам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земельных отношений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архитектуры, градостроительства, земельных отношений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наружной рекламы администрации 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ского района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Любежанин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является должностным лицом (л.д. </w:t>
      </w:r>
      <w:r>
        <w:rPr>
          <w:rFonts w:ascii="Times New Roman" w:eastAsia="Times New Roman" w:hAnsi="Times New Roman" w:cs="Times New Roman"/>
          <w:sz w:val="26"/>
          <w:rtl w:val="0"/>
        </w:rPr>
        <w:t>48-61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выполняющим организационно-распорядительные функции, в его должностные обязанности входит соблюдение, в том числе федеральных законов и иных правовых актов Российской Федерации, т.е. </w:t>
      </w:r>
      <w:r>
        <w:rPr>
          <w:rFonts w:ascii="Times New Roman" w:eastAsia="Times New Roman" w:hAnsi="Times New Roman" w:cs="Times New Roman"/>
          <w:sz w:val="26"/>
          <w:rtl w:val="0"/>
        </w:rPr>
        <w:t>Любежанин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субъектом данного правонарушения, вина доказана, и он подлежит ответственности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19.7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 суд находит допустимыми, поскольку они собраны в соответствии с требованиями КоАП РФ, достоверными, и в совокупности достаточными для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влекущих прекращение производства по делу, при рассмотрении дела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ственности, и учитывается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ответственность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 отягчающих вину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возможным назначить Любежанину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ст.29.7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Российской Федерации,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Заведующего сектором по вопросам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земельных отношений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архитектуры, градостроительства, земельных отношений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наружной рекламы администрации 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ского района Республики Крым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Любежанина Александра Анатольевича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ст. 19.7 КоАП РФ и назначить ему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