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правления 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1,2 группы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средне-техническое,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>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2 ст. 13.19.2 КоАП РФ постановлением мирового судьи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вступившим в законную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лицом,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ответственным за размещение в ГИС ЖКХ информации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нарушение ч. 4 ст. 165 ЖК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раздела 10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6"/>
          <w:rtl w:val="0"/>
        </w:rPr>
        <w:t>16.2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№74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разместил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ГИС ЖКХ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годовую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6"/>
          <w:rtl w:val="0"/>
        </w:rPr>
        <w:t>ст. 13.19.2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признал и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отчетность не разместила нанятая им бухгалтер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сам исполнять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председателя правления ЖСК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желает, однако снять с себя полномочия в установленном порядке не может.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РФ, поскольку предусмотренные законом сведения не были внесены в ГИС ЖКХ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этом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ответственности, предусмотренной ч. 2 ст. 13.19.2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пределах санкции статьи.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помощника прокурора,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должностного лица,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 доказана,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Частью 2 ст. 13.19.2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3 ст. 13.19.2 КоАП РФ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овершение административного правонарушения, предусмотренного частями 1 и 2 настоящей статьи, должностным лицом, ранее подвергнутым административному наказанию за аналогичное административное правонарушение, влечет наложение административного штрафа в размере от пятнадцати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части 2.1 статьи 155 Жилищного кодекса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подлежат, размещению в системе в срок, предусмотренный частью 2 настоящей статьи, а именно не позднее первого числа месяца, следующего за истекшим месяцем, если иной срок не установлен договором управления многоквартирным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74 и Минстроя России N 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информация, подлежит размещению в системе ГИС ЖКХ лицами, осуществляющими деятельность по управлению многоквартирными домами на основании договора управления, товариществами собственников жилья.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приказа Министерства связи и массовых коммуникаций Российской Федерации N 504 и Министерства строительства и жилищно-коммунального хозяйства Российской Федерации N 934/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"Интернет", в соответствии с пунктом 11 части 3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209-ФЗ "О государственной информационной системе жилищно-коммунального хозяйства", определен адрес официального сайта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государственной информационной системы жилищно-коммунального хозяйства в информационно-телекоммуникационной сети "Интернет"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www.dom.gosuslugi.ru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совместным приказом Министерства связи и массовых коммуникаций и Министерства строительства и жилищно-коммунального хозяйства Российской Федерации N 368/691/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утвержден 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разделом 10 п. 16.2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74, Минстроя России N 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годовая бухгалтерская (финансовая) отчетность подлежит размещению в системе ГИС ЖКХ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ежегодно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года за предыдущий год, в котором товарищество и кооператив осуществляли деятельность по управлению многоквартирным домом.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председатель 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размещение в ГИС ЖКХ сведений, не разместил в системе ГИС ЖКХ </w:t>
      </w:r>
      <w:r>
        <w:rPr>
          <w:rFonts w:ascii="Times New Roman" w:eastAsia="Times New Roman" w:hAnsi="Times New Roman" w:cs="Times New Roman"/>
          <w:sz w:val="26"/>
          <w:rtl w:val="0"/>
        </w:rPr>
        <w:t>годовую бухгалтерскую (финансовую) отчетность за 2023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многоквартирному дому, расположенному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решения о проведении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акта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протокола внеочередного собрания членов 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копией протокола внеочередного собрания членов ЖСК 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выпиской из ЕГРЮЛ,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скриншотом системы ГИС ЖКХ на дату проверки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постановления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должностного лица ЖСК 12 «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по ч. 2 ст. 13.19.2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не опровергнуто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в материалы дела вышеперечисленные доказательства являются относимыми, допустимыми и достаточными для вывода о виновности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желает исполнять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председателя правления ЖСК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нанял бухгалтера,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отправила сведения, не могут быть приняты во внимание, поскольку в установленном порядке полномочия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прекращены не были. На момент истечения срока подачи отчетности он является председателем правления ЖСК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что следует из выписки из ЕГРЮЛ.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 избрания нового председателя правления, либо уполномочие иного лица на осуществление соответствующих юридически значимых действий,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скриншот системы ГИС ЖКХ свидетельствует о том, что годовой отчет был сформирован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размещен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что подтверждает факт несвоевременно размещения отчета.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председателя правления ЖСК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председателя правления ЖСК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правильно квалифицированы по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 КоАП РФ предусмотрено наказание в виде административного штрафа на должностных лиц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возраст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размещение отчетности после выявления 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ст.4.3 КоАП РФ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замены штрафа предупреждением не имеется, поскольку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своему характеру, с учетом роли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длительности пропуска срока, нарушение нельзя признать малозначительным.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читыва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наличие смягчающих и отсутствие отягчающих административную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приходит к выводу, что для достижения целей административного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возможно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ограничиться штрафом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и руководствуясь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правления 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01133019000140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1652413188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://home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