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169/2020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14 октября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 правонарушение в 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Санникова Анатолия Яковлевича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имеюще</w:t>
      </w:r>
      <w:r>
        <w:rPr>
          <w:rFonts w:ascii="Times New Roman" w:eastAsia="Times New Roman" w:hAnsi="Times New Roman" w:cs="Times New Roman"/>
          <w:sz w:val="26"/>
          <w:rtl w:val="0"/>
        </w:rPr>
        <w:t>го высшее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работающ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 управляющим – Индивидуальным предпринимателем в ООО «Седьмое небо»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по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14.16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стративных правонарушениях,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16.06.2020 года в 11.0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 час. </w:t>
      </w:r>
      <w:r>
        <w:rPr>
          <w:rFonts w:ascii="Times New Roman" w:eastAsia="Times New Roman" w:hAnsi="Times New Roman" w:cs="Times New Roman"/>
          <w:sz w:val="26"/>
          <w:rtl w:val="0"/>
        </w:rPr>
        <w:t>при проведении проверки в помещении кафе-дегустационного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ла «Седьмое небо»,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установлено,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должностное лицо - </w:t>
      </w:r>
      <w:r>
        <w:rPr>
          <w:rFonts w:ascii="Times New Roman" w:eastAsia="Times New Roman" w:hAnsi="Times New Roman" w:cs="Times New Roman"/>
          <w:sz w:val="26"/>
          <w:rtl w:val="0"/>
        </w:rPr>
        <w:t>управляющий - индивидуальный предприниматель ООО «Седьмое небо» Са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ников А.Я. допустил оборот (хранение) спиртосодержащей продукции</w:t>
      </w:r>
      <w:r>
        <w:rPr>
          <w:rFonts w:ascii="Times New Roman" w:eastAsia="Times New Roman" w:hAnsi="Times New Roman" w:cs="Times New Roman"/>
          <w:sz w:val="26"/>
          <w:rtl w:val="0"/>
        </w:rPr>
        <w:t>, согла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но заключению эксперта №9/206 от 13.07.2020, без сопроводительных докуме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тов, удост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веряющих легальность их производства и оборота.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должностное лицо -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правляющий – индивидуальный предприниматель Санников А.Я.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 административное правонарушение,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смотренное </w:t>
      </w:r>
      <w:hyperlink r:id="rId4" w:anchor="/document/12125267/entry/141602" w:history="1"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2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14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16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</w:t>
      </w:r>
    </w:p>
    <w:p>
      <w:pPr>
        <w:bidi w:val="0"/>
        <w:spacing w:before="0" w:beforeAutospacing="0" w:after="0" w:afterAutospacing="0" w:line="259" w:lineRule="auto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Санников А.Я.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явился, уведомлялся о дне, месте и времени сл</w:t>
      </w:r>
      <w:r>
        <w:rPr>
          <w:rFonts w:ascii="Times New Roman" w:eastAsia="Times New Roman" w:hAnsi="Times New Roman" w:cs="Times New Roman"/>
          <w:sz w:val="26"/>
          <w:rtl w:val="0"/>
        </w:rPr>
        <w:t>ушания дела надлежащим образом.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судебный участок предост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вил письменные пояснения</w:t>
      </w:r>
      <w:r>
        <w:rPr>
          <w:rFonts w:ascii="Times New Roman" w:eastAsia="Times New Roman" w:hAnsi="Times New Roman" w:cs="Times New Roman"/>
          <w:sz w:val="26"/>
          <w:rtl w:val="0"/>
        </w:rPr>
        <w:t>, согласно которых вину в совершении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 он признает, просит рассмотреть дело в его отсутствие.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указанных обстоятельствах суд считает возможным рассмотреть дело в отсутствие не явившегося лица, привлекаемого к административной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ности.</w:t>
      </w:r>
    </w:p>
    <w:p>
      <w:pPr>
        <w:bidi w:val="0"/>
        <w:spacing w:before="0" w:beforeAutospacing="0" w:after="0" w:afterAutospacing="0" w:line="259" w:lineRule="auto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Суд, всесторонне, полно и объективно исследовав все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i w:val="0"/>
          <w:sz w:val="26"/>
          <w:rtl w:val="0"/>
        </w:rPr>
        <w:t xml:space="preserve">ч.2 ст. 14.16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Кодекса Российской Федерации об административных прав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нарушениях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установлено, что оборот этилового спирта (за исключением ро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ничной продажи), алкогольной и спиртосодержащей продукции без сопровод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тельных документов, удостоверяющих легальность их производства и об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рота, определенных федеральным законом, - влечет наложение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 штрафа на должностных лиц в размере от десяти тысяч до пятнадцати тысяч рублей с конфискацией этилового спирта, алкогольной и спиртосодержащей продукции; на юридических лиц - от двухсот тысяч до трехсот тысяч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 с конфискацией этилового спирта, алкогольной и спиртосодержащей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дукции.</w:t>
      </w:r>
    </w:p>
    <w:p>
      <w:pPr>
        <w:bidi w:val="0"/>
        <w:spacing w:before="0" w:beforeAutospacing="0" w:after="0" w:afterAutospacing="0"/>
        <w:ind w:left="709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Оборот этилового спирта, алкогольной и спиртосодержащей продукции осуществляется только при наличии сопроводительных документов, удостов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ряющих легальность их производства и оборота, список которых указан в </w:t>
      </w:r>
      <w:hyperlink r:id="rId4" w:anchor="/document/10105489/entry/100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10.2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Федерального закона от 22.11.1995г. N 171-ФЗ "О государственном рег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лировании производства и оборота этилового спирта, алкогольной и спиртос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держащей продукции и об ограничении потребления (распития) алкогольной продукции".</w:t>
      </w:r>
    </w:p>
    <w:p>
      <w:pPr>
        <w:bidi w:val="0"/>
        <w:spacing w:before="0" w:beforeAutospacing="0" w:after="0" w:afterAutospacing="0"/>
        <w:ind w:left="709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Хранение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алкогольной и спиртосодержащей продукции без документов, указанных в </w:t>
      </w:r>
      <w:hyperlink r:id="rId4" w:anchor="/document/10105489/entry/100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10.2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Федерального закона от 22.11.1995г. N 171-ФЗ "О госуда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ственном регулировании производства и оборота этилового спирта, алкогол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ной и спиртосодержащей продукции и об ограничении потребления (распития) алкогольной продукции" образует объективную сторону состава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тивного правонарушения, предусмотренного </w:t>
      </w:r>
      <w:hyperlink r:id="rId4" w:anchor="/document/12125267/entry/141602" w:history="1"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2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14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16</w:t>
        </w:r>
      </w:hyperlink>
      <w:r>
        <w:rPr>
          <w:rFonts w:ascii="Times New Roman" w:eastAsia="Times New Roman" w:hAnsi="Times New Roman" w:cs="Times New Roman"/>
          <w:i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РФ.</w:t>
      </w:r>
    </w:p>
    <w:p>
      <w:pPr>
        <w:bidi w:val="0"/>
        <w:spacing w:before="0" w:beforeAutospacing="0" w:after="0" w:afterAutospacing="0"/>
        <w:ind w:left="709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4" w:anchor="/document/10105489/entry/102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подпунктам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4" w:anchor="/document/10105489/entry/10213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3 пункта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4" w:anchor="/document/10105489/entry/102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пункту 2 статьи 10.2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Федерального закона N 171-ФЗ от 22 ноября 1995 года "О государственном регулировании производства и оборота алкогольной и спиртосодержащей продукции и об 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раничении потребления (распития) алкогольной продукции" (далее - Закон) оборот этилового спирта, алкогольной и спиртосодержащей продукции осущ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ствляется только при наличии сопровод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тельных документов, удостоверяющих легальность их производства и оборота, в том числе, товарно-транспортной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кладной; </w:t>
      </w:r>
      <w:r>
        <w:rPr>
          <w:rFonts w:ascii="Times New Roman" w:eastAsia="Times New Roman" w:hAnsi="Times New Roman" w:cs="Times New Roman"/>
          <w:sz w:val="26"/>
          <w:rtl w:val="0"/>
        </w:rPr>
        <w:t>справки прилагаемой к таможенной декларации, для импортирова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ных этилового спирта, алкогольной и спиртосодержащей продукции в целях использования их в качестве сырья или вспомогательного материала при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изводстве неспиртосодержащей продукции либо в технических целях или иных целях, не связанных с производством и (или) оборотом (за исключением заку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ки) этилового спирта, алкогольной и спиртосодержащей продукции, а также для алкогольной продукции, маркируемой в соответствии с настоящим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ральным законом акцизными марками, информация об объеме оборота которой не зафиксирована в единой государственной автоматизированной информац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онной системе по каждой единице алкогольной продукции. Такая справка не заполняется для импортированных этилового спирта, алкогольной и спиртос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держащей продукции, являющихся товарами ЕАЭС;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справки прилагаемой к 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варно-транспортной накладной, для этилового спирта, алкогольной и спирт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содержащей продукции, импортированных и являющихся товарами ЕАЭС, в целях 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пользования такой продукции в качестве сырья или вспомогательного материала при производстве неспиртосодержащей продукции либо в технич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продукции, произведенных на территории Российской Федерации или импо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тированных и являющихся товарами ЕАЭС, а также для алкогольной проду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ции, маркируемой в соответствии с настоящим Федеральным законом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ральными специальными марками, информация об объеме оборота которой не зафиксирована в единой государственной автоматизированной информацио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ной системе по каждой единице алкогольной продукции;</w:t>
      </w:r>
    </w:p>
    <w:p>
      <w:pPr>
        <w:bidi w:val="0"/>
        <w:spacing w:before="0" w:beforeAutospacing="0" w:after="0" w:afterAutospacing="0"/>
        <w:ind w:left="0" w:right="4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Этиловый спирт, алкогольная и спиртосодержащая продукция, оборот которых осуществляется при полном или частичном отсутствии сопровод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тельных документов, указанных в пункте 1 настоящей статьи, считаются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дукцией, находящейся в нез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конном обороте.</w:t>
      </w:r>
    </w:p>
    <w:p>
      <w:pPr>
        <w:bidi w:val="0"/>
        <w:spacing w:before="0" w:beforeAutospacing="0" w:after="0" w:afterAutospacing="0"/>
        <w:ind w:left="0" w:right="4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пунктом 16 статьи 2 Закона оборот - это закупка (в том числе импорт), поставки (в том числе экспорт), хранение, перевозки и розни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ная продажа, на которые распространяется действие настоящего Федерального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кона.</w:t>
      </w:r>
    </w:p>
    <w:p>
      <w:pPr>
        <w:bidi w:val="0"/>
        <w:spacing w:before="0" w:beforeAutospacing="0" w:after="0" w:afterAutospacing="0"/>
        <w:ind w:left="0" w:right="4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Административная ответственность за об</w:t>
      </w:r>
      <w:r>
        <w:rPr>
          <w:rFonts w:ascii="Times New Roman" w:eastAsia="Times New Roman" w:hAnsi="Times New Roman" w:cs="Times New Roman"/>
          <w:sz w:val="26"/>
          <w:rtl w:val="0"/>
        </w:rPr>
        <w:t>орот (в том числе, хранение</w:t>
      </w:r>
      <w:r>
        <w:rPr>
          <w:rFonts w:ascii="Times New Roman" w:eastAsia="Times New Roman" w:hAnsi="Times New Roman" w:cs="Times New Roman"/>
          <w:sz w:val="26"/>
          <w:rtl w:val="0"/>
        </w:rPr>
        <w:t>) спиртосодержащей продукции без сопроводительных документов, удостов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ряющих легальность их производства и оборота, определенных Законом,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дусмотрена </w:t>
      </w:r>
      <w:hyperlink r:id="rId4" w:anchor="/document/12125267/entry/141602" w:history="1"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частью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2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статьи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14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16</w:t>
        </w:r>
      </w:hyperlink>
      <w:r>
        <w:rPr>
          <w:rFonts w:ascii="Times New Roman" w:eastAsia="Times New Roman" w:hAnsi="Times New Roman" w:cs="Times New Roman"/>
          <w:i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 правонарушениях.</w:t>
      </w:r>
    </w:p>
    <w:p>
      <w:pPr>
        <w:bidi w:val="0"/>
        <w:spacing w:before="0" w:beforeAutospacing="0" w:after="0" w:afterAutospacing="0"/>
        <w:ind w:left="0" w:right="4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материалов дела об административном правонарушении усматривае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ся, что 11.06.2020 года в 11.0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 час. </w:t>
      </w:r>
      <w:r>
        <w:rPr>
          <w:rFonts w:ascii="Times New Roman" w:eastAsia="Times New Roman" w:hAnsi="Times New Roman" w:cs="Times New Roman"/>
          <w:sz w:val="26"/>
          <w:rtl w:val="0"/>
        </w:rPr>
        <w:t>при проведении проверки в помещении 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фе-дегустационного зала «Седьмое небо»,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должностное лицо 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управляющий - индивидуальный предприниматель ООО «Седьмое небо» Санников А.Я. допустил оборот (хранение) спиртосодержащей продукции, а именно: пластиковая бутылка объемом 0,5 литров в количестве 6 шт. </w:t>
      </w:r>
      <w:r>
        <w:rPr>
          <w:rFonts w:ascii="Times New Roman" w:eastAsia="Times New Roman" w:hAnsi="Times New Roman" w:cs="Times New Roman"/>
          <w:sz w:val="26"/>
          <w:rtl w:val="0"/>
        </w:rPr>
        <w:t>с соде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жанием жидкости </w:t>
      </w:r>
      <w:r>
        <w:rPr>
          <w:rFonts w:ascii="Times New Roman" w:eastAsia="Times New Roman" w:hAnsi="Times New Roman" w:cs="Times New Roman"/>
          <w:sz w:val="26"/>
          <w:rtl w:val="0"/>
        </w:rPr>
        <w:t>с характерным запахом спирта, пластиковая бутылка объ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мом 1 лит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количестве 10 шт.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содержанием жидкости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характерным зап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хом спирта, деревянная бочка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объемом 8 литров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количестве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шт.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содерж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нием жидкости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характерным запахом спирта</w:t>
      </w:r>
      <w:r>
        <w:rPr>
          <w:rFonts w:ascii="Times New Roman" w:eastAsia="Times New Roman" w:hAnsi="Times New Roman" w:cs="Times New Roman"/>
          <w:sz w:val="26"/>
          <w:rtl w:val="0"/>
        </w:rPr>
        <w:t>, пластиковая емкость объемом 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литров в количестве 27 шт.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содержанием жидкости </w:t>
      </w:r>
      <w:r>
        <w:rPr>
          <w:rFonts w:ascii="Times New Roman" w:eastAsia="Times New Roman" w:hAnsi="Times New Roman" w:cs="Times New Roman"/>
          <w:sz w:val="26"/>
          <w:rtl w:val="0"/>
        </w:rPr>
        <w:t>с характерным зап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хом спирта, пластиковая емкость объемом 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литров в количестве 5 шт. </w:t>
      </w:r>
      <w:r>
        <w:rPr>
          <w:rFonts w:ascii="Times New Roman" w:eastAsia="Times New Roman" w:hAnsi="Times New Roman" w:cs="Times New Roman"/>
          <w:sz w:val="26"/>
          <w:rtl w:val="0"/>
        </w:rPr>
        <w:t>с содерж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нием жидкости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характерным запахом спирта, стеклянная емкость (банка) объемом 3 литра в количестве 27 шт.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содержанием жидкости </w:t>
      </w:r>
      <w:r>
        <w:rPr>
          <w:rFonts w:ascii="Times New Roman" w:eastAsia="Times New Roman" w:hAnsi="Times New Roman" w:cs="Times New Roman"/>
          <w:sz w:val="26"/>
          <w:rtl w:val="0"/>
        </w:rPr>
        <w:t>с характерным зап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хом спирта, стеклянная емкость объемом 10 литров в количестве 1 шт.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содержанием жидкости </w:t>
      </w:r>
      <w:r>
        <w:rPr>
          <w:rFonts w:ascii="Times New Roman" w:eastAsia="Times New Roman" w:hAnsi="Times New Roman" w:cs="Times New Roman"/>
          <w:sz w:val="26"/>
          <w:rtl w:val="0"/>
        </w:rPr>
        <w:t>с характерным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пахом спирта.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Указанные обст</w:t>
      </w:r>
      <w:r>
        <w:rPr>
          <w:rFonts w:ascii="Times New Roman" w:eastAsia="Times New Roman" w:hAnsi="Times New Roman" w:cs="Times New Roman"/>
          <w:sz w:val="26"/>
          <w:rtl w:val="0"/>
        </w:rPr>
        <w:t>оятельства и вина Санникова А.Я.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рушения, предусмотренного </w:t>
      </w:r>
      <w:hyperlink r:id="rId4" w:anchor="/document/12125267/entry/141602" w:history="1"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2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14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16</w:t>
        </w:r>
      </w:hyperlink>
      <w:r>
        <w:rPr>
          <w:rFonts w:ascii="Times New Roman" w:eastAsia="Times New Roman" w:hAnsi="Times New Roman" w:cs="Times New Roman"/>
          <w:i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подтверждаются собранн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ми по делу об административном правонарушении доказательствами: проток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лом об администрат</w:t>
      </w:r>
      <w:r>
        <w:rPr>
          <w:rFonts w:ascii="Times New Roman" w:eastAsia="Times New Roman" w:hAnsi="Times New Roman" w:cs="Times New Roman"/>
          <w:sz w:val="26"/>
          <w:rtl w:val="0"/>
        </w:rPr>
        <w:t>ивном правонарушении №РК - 308546 от 15.07.2020 г.</w:t>
      </w:r>
      <w:r>
        <w:rPr>
          <w:rFonts w:ascii="Times New Roman" w:eastAsia="Times New Roman" w:hAnsi="Times New Roman" w:cs="Times New Roman"/>
          <w:sz w:val="26"/>
          <w:rtl w:val="0"/>
        </w:rPr>
        <w:t>; 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ределением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ведении административного расследования от 17.06.2020г.; рапортом Начал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ника ООПАЗ УОООП МВД по Республике Крым от 16.06.2020г.</w:t>
      </w:r>
      <w:r>
        <w:rPr>
          <w:rFonts w:ascii="Times New Roman" w:eastAsia="Times New Roman" w:hAnsi="Times New Roman" w:cs="Times New Roman"/>
          <w:sz w:val="26"/>
          <w:rtl w:val="0"/>
        </w:rPr>
        <w:t>; протоколом осмотра принадлежащих юридическому или индивидуальному предпринимат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лю помещений, территорий и находящихся там вещей и доку</w:t>
      </w:r>
      <w:r>
        <w:rPr>
          <w:rFonts w:ascii="Times New Roman" w:eastAsia="Times New Roman" w:hAnsi="Times New Roman" w:cs="Times New Roman"/>
          <w:sz w:val="26"/>
          <w:rtl w:val="0"/>
        </w:rPr>
        <w:t>ментов от 16.06</w:t>
      </w:r>
      <w:r>
        <w:rPr>
          <w:rFonts w:ascii="Times New Roman" w:eastAsia="Times New Roman" w:hAnsi="Times New Roman" w:cs="Times New Roman"/>
          <w:sz w:val="26"/>
          <w:rtl w:val="0"/>
        </w:rPr>
        <w:t>.2020 г.; видеозаписью</w:t>
      </w:r>
      <w:r>
        <w:rPr>
          <w:rFonts w:ascii="Times New Roman" w:eastAsia="Times New Roman" w:hAnsi="Times New Roman" w:cs="Times New Roman"/>
          <w:sz w:val="26"/>
          <w:rtl w:val="0"/>
        </w:rPr>
        <w:t>; протоколом изъятия вещей и доку</w:t>
      </w:r>
      <w:r>
        <w:rPr>
          <w:rFonts w:ascii="Times New Roman" w:eastAsia="Times New Roman" w:hAnsi="Times New Roman" w:cs="Times New Roman"/>
          <w:sz w:val="26"/>
          <w:rtl w:val="0"/>
        </w:rPr>
        <w:t>ментов от 16.06</w:t>
      </w:r>
      <w:r>
        <w:rPr>
          <w:rFonts w:ascii="Times New Roman" w:eastAsia="Times New Roman" w:hAnsi="Times New Roman" w:cs="Times New Roman"/>
          <w:sz w:val="26"/>
          <w:rtl w:val="0"/>
        </w:rPr>
        <w:t>.2020 г.; объясне</w:t>
      </w:r>
      <w:r>
        <w:rPr>
          <w:rFonts w:ascii="Times New Roman" w:eastAsia="Times New Roman" w:hAnsi="Times New Roman" w:cs="Times New Roman"/>
          <w:sz w:val="26"/>
          <w:rtl w:val="0"/>
        </w:rPr>
        <w:t>нием Черняевой О.Н. от 16</w:t>
      </w:r>
      <w:r>
        <w:rPr>
          <w:rFonts w:ascii="Times New Roman" w:eastAsia="Times New Roman" w:hAnsi="Times New Roman" w:cs="Times New Roman"/>
          <w:sz w:val="26"/>
          <w:rtl w:val="0"/>
        </w:rPr>
        <w:t>.06.2020 г.;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заключением эк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перта №9/206;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копией договора аренды нежилого помещения;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копией дог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вора о передаче полномочий единоличного исполнительного органа управля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щему;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изъятия вещей и документов от 16.06.2020г. было </w:t>
      </w:r>
      <w:r>
        <w:rPr>
          <w:rFonts w:ascii="Times New Roman" w:eastAsia="Times New Roman" w:hAnsi="Times New Roman" w:cs="Times New Roman"/>
          <w:sz w:val="26"/>
          <w:rtl w:val="0"/>
        </w:rPr>
        <w:t>изъ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то: </w:t>
      </w:r>
      <w:r>
        <w:rPr>
          <w:rFonts w:ascii="Times New Roman" w:eastAsia="Times New Roman" w:hAnsi="Times New Roman" w:cs="Times New Roman"/>
          <w:sz w:val="26"/>
          <w:rtl w:val="0"/>
        </w:rPr>
        <w:t>пластиковая бутылка объемом 0,5 литров в количестве 6 шт. с соде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жанием жидкости с характерным запахом спирта, пластиковая бутылка объ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мом</w:t>
      </w:r>
    </w:p>
    <w:p>
      <w:pPr>
        <w:bidi w:val="0"/>
        <w:spacing w:before="0" w:beforeAutospacing="0" w:after="0" w:afterAutospacing="0"/>
        <w:ind w:left="709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 литр в количестве 10 шт. с содержанием жидкости с характерным запахом спирта, деревянная бочка объемом 8 литров в количестве 1 шт. с содерж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нием жидкости с характерным запахом спирта, пластиковая емкость объемом 5 ли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ров в количестве 27 шт. с содержанием жидкости с характерным запахом спи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та, пластиковая емкость объемом 6 литров в количестве 5 шт. с содержанием жидкости с характерным запахом спирта, стеклянная емкость (банка) объемом 3 литра в количестве 27 шт. с содержанием жидкости с характерным запахом спирта, стеклянная емкость объемом 10 литров в количестве 1 шт. с содерж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нием жидкости с характерным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пахом спирта.</w:t>
      </w:r>
    </w:p>
    <w:p>
      <w:pPr>
        <w:bidi w:val="0"/>
        <w:spacing w:before="0" w:beforeAutospacing="0" w:after="0" w:afterAutospacing="0"/>
        <w:ind w:left="709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Доказательства, собранные по делу собраны в соответствии с требов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ниями действующего законодательства, являются достаточными и прямо ук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зыва</w:t>
      </w:r>
      <w:r>
        <w:rPr>
          <w:rFonts w:ascii="Times New Roman" w:eastAsia="Times New Roman" w:hAnsi="Times New Roman" w:cs="Times New Roman"/>
          <w:sz w:val="26"/>
          <w:rtl w:val="0"/>
        </w:rPr>
        <w:t>ют на 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Санниковым А.Я. правонарушения предусмотренного </w:t>
      </w:r>
      <w:hyperlink r:id="rId4" w:anchor="/document/12125267/entry/141602" w:history="1"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2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14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16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709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не доверять всем представленным доказательствам не имее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ся. При этом суд исходит из презумпции правомерности, добросовестности должностных лиц, выявивших административное правонарушение, и лица,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ставившего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нистративный материал.</w:t>
      </w:r>
    </w:p>
    <w:p>
      <w:pPr>
        <w:bidi w:val="0"/>
        <w:spacing w:before="0" w:beforeAutospacing="0" w:after="0" w:afterAutospacing="0"/>
        <w:ind w:left="709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установленных обстоятельствах,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считает вину Санникова А.Я.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hyperlink r:id="rId4" w:anchor="/document/12125267/entry/141602" w:history="1"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2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14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16</w:t>
        </w:r>
      </w:hyperlink>
      <w:r>
        <w:rPr>
          <w:rFonts w:ascii="Times New Roman" w:eastAsia="Times New Roman" w:hAnsi="Times New Roman" w:cs="Times New Roman"/>
          <w:i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доказанной, и его действия суд квалифицирует по </w:t>
      </w:r>
      <w:hyperlink r:id="rId4" w:anchor="/document/12125267/entry/141602" w:history="1"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2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14</w:t>
        </w:r>
        <w:r>
          <w:rPr>
            <w:rFonts w:ascii="Times New Roman" w:eastAsia="Times New Roman" w:hAnsi="Times New Roman" w:cs="Times New Roman"/>
            <w:i/>
            <w:color w:val="0000FF"/>
            <w:sz w:val="26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16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РФ.</w:t>
      </w:r>
    </w:p>
    <w:p>
      <w:pPr>
        <w:bidi w:val="0"/>
        <w:spacing w:before="0" w:beforeAutospacing="0" w:after="0" w:afterAutospacing="0"/>
        <w:ind w:left="709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Установленных законом оснований для прекращения производства по делу не имеется.</w:t>
      </w:r>
    </w:p>
    <w:p>
      <w:pPr>
        <w:bidi w:val="0"/>
        <w:spacing w:before="0" w:beforeAutospacing="0" w:after="0" w:afterAutospacing="0"/>
        <w:ind w:left="709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Вместе с тем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4.1.1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являющимся суб</w:t>
      </w:r>
      <w:r>
        <w:rPr>
          <w:rFonts w:ascii="Times New Roman" w:eastAsia="Times New Roman" w:hAnsi="Times New Roman" w:cs="Times New Roman"/>
          <w:sz w:val="26"/>
          <w:rtl w:val="0"/>
        </w:rPr>
        <w:t>ъ</w:t>
      </w:r>
      <w:r>
        <w:rPr>
          <w:rFonts w:ascii="Times New Roman" w:eastAsia="Times New Roman" w:hAnsi="Times New Roman" w:cs="Times New Roman"/>
          <w:sz w:val="26"/>
          <w:rtl w:val="0"/>
        </w:rPr>
        <w:t>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стративное правонарушение, выявленное в ходе осуществления государстве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ного контроля (надзора), муниципального ко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троля, в случаях, если назначение административного наказания в виде предупреждения не предусмотрено соо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ветствующей статьей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раздела II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 или закона субъекта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правонарушениях,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ное наказание в виде административного штрафа подлежит замене на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преждение при наличии обстоятельств,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Кодекса, за исключением случаев,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2 н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а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стоящей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а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тьи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709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2 ст. 3.4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предупреждение устанавливается за впе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вые совершенные административные правонарушения при отсутствии прич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нения вреда или возникновения угрозы причинения вреда жизни и здоровью людей, объектам животного и растительного мира, окружающей среде, объе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там культурного наследия (памятникам истории и культуры) народов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bidi w:val="0"/>
        <w:spacing w:before="0" w:beforeAutospacing="0" w:after="0" w:afterAutospacing="0"/>
        <w:ind w:left="709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следует, что Санников А.Я. является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должностным лицом – управляющим - </w:t>
      </w:r>
      <w:r>
        <w:rPr>
          <w:rFonts w:ascii="Times New Roman" w:eastAsia="Times New Roman" w:hAnsi="Times New Roman" w:cs="Times New Roman"/>
          <w:sz w:val="26"/>
          <w:rtl w:val="0"/>
        </w:rPr>
        <w:t>индивидуальным предпринимателем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ООО «Седьмое небо»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Учитывая, что материалы дела не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держат сведений о привлечении </w:t>
      </w:r>
      <w:r>
        <w:rPr>
          <w:rFonts w:ascii="Times New Roman" w:eastAsia="Times New Roman" w:hAnsi="Times New Roman" w:cs="Times New Roman"/>
          <w:sz w:val="26"/>
          <w:rtl w:val="0"/>
        </w:rPr>
        <w:t>к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должностного лица – управляющего - </w:t>
      </w:r>
      <w:r>
        <w:rPr>
          <w:rFonts w:ascii="Times New Roman" w:eastAsia="Times New Roman" w:hAnsi="Times New Roman" w:cs="Times New Roman"/>
          <w:sz w:val="26"/>
          <w:rtl w:val="0"/>
        </w:rPr>
        <w:t>инд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видуаль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предпри</w:t>
      </w:r>
      <w:r>
        <w:rPr>
          <w:rFonts w:ascii="Times New Roman" w:eastAsia="Times New Roman" w:hAnsi="Times New Roman" w:cs="Times New Roman"/>
          <w:sz w:val="26"/>
          <w:rtl w:val="0"/>
        </w:rPr>
        <w:t>нимателя ООО «Седьмое небо» Санникова А.Я.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ранее,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сутствии последствий правонаруше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ния, суд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положениями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4.1.1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 Санникову А.Я.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ние в виде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дупреждения.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ч.3 ст. 4.1.1 КоАП РФ в случае замены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наказания в виде штрафа на предупреждение дополнительное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тивное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применяется.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</w:t>
      </w:r>
      <w:r>
        <w:rPr>
          <w:rFonts w:ascii="Times New Roman" w:eastAsia="Times New Roman" w:hAnsi="Times New Roman" w:cs="Times New Roman"/>
          <w:sz w:val="26"/>
          <w:rtl w:val="0"/>
        </w:rPr>
        <w:t>4.1.1,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29.9, 29.10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АП РФ суд, -</w:t>
      </w:r>
    </w:p>
    <w:p>
      <w:pPr>
        <w:bidi w:val="0"/>
        <w:spacing w:before="0" w:beforeAutospacing="0" w:after="160" w:afterAutospacing="0" w:line="259" w:lineRule="auto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Должностное лицо – управляющего – индивидуального предпринимателя ООО «Седьмое небо» </w:t>
      </w:r>
      <w:r>
        <w:rPr>
          <w:rFonts w:ascii="Times New Roman" w:eastAsia="Times New Roman" w:hAnsi="Times New Roman" w:cs="Times New Roman"/>
          <w:sz w:val="26"/>
          <w:rtl w:val="0"/>
        </w:rPr>
        <w:t>Санникова Анатолия Яковлевича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виновным </w:t>
      </w:r>
      <w:r>
        <w:rPr>
          <w:rFonts w:ascii="Times New Roman" w:eastAsia="Times New Roman" w:hAnsi="Times New Roman" w:cs="Times New Roman"/>
          <w:sz w:val="26"/>
          <w:rtl w:val="0"/>
        </w:rPr>
        <w:t>в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вершении административного правонарушения, ответственнос</w:t>
      </w:r>
      <w:r>
        <w:rPr>
          <w:rFonts w:ascii="Times New Roman" w:eastAsia="Times New Roman" w:hAnsi="Times New Roman" w:cs="Times New Roman"/>
          <w:sz w:val="26"/>
          <w:rtl w:val="0"/>
        </w:rPr>
        <w:t>ть за которое предусмотрена ч. 2 ст. 14.16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и назначить ему наказание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дупре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дения.</w:t>
      </w:r>
    </w:p>
    <w:p>
      <w:pPr>
        <w:bidi w:val="0"/>
        <w:spacing w:before="0" w:beforeAutospacing="0" w:after="0" w:afterAutospacing="0"/>
        <w:ind w:left="0" w:right="4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Изъятую</w:t>
      </w:r>
      <w:r>
        <w:rPr>
          <w:rFonts w:ascii="Times New Roman" w:eastAsia="Times New Roman" w:hAnsi="Times New Roman" w:cs="Times New Roman"/>
          <w:sz w:val="26"/>
          <w:rtl w:val="0"/>
        </w:rPr>
        <w:t>, согласно протокола изъятия вещей и документов от 16.06.2020г. в 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густационном зале «Седьмое небо»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спиртосодержащую продукцию</w:t>
      </w:r>
      <w:r>
        <w:rPr>
          <w:rFonts w:ascii="Times New Roman" w:eastAsia="Times New Roman" w:hAnsi="Times New Roman" w:cs="Times New Roman"/>
          <w:sz w:val="26"/>
          <w:rtl w:val="0"/>
        </w:rPr>
        <w:t>, а именно: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пластиковая бутылка объемом 0,5 литров в количестве 6 шт. с содержанием жидкости с х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ракте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ным запахом спирта, пластиковая бутылка объемом 1 литр в количестве 10 шт. с содержанием жидкости с характерным запахом спирта, деревянная бочка объемом 8 литров в количестве 1 шт. с содержанием жидкости с хара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терным запахом спирта, пластиковая емкость объемом 5 литров в количестве 27 шт. с содержанием жидкости с характерным запахом спирта, пластиковая емкость объемом 6 литров в количестве 5 шт. с содержанием жидкости с хара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терным запахом спирта, стеклянная емкость (банка) объемом 3 литра в колич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стве 27 шт. с содержанием жидкости с характерным запахом спирта, стекля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ная 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кость объемом 10 литров в количестве 1 шт. с содержанием жидкости с характерным запахом спирта; возвратить по принадлежности </w:t>
      </w:r>
      <w:r>
        <w:rPr>
          <w:rFonts w:ascii="Times New Roman" w:eastAsia="Times New Roman" w:hAnsi="Times New Roman" w:cs="Times New Roman"/>
          <w:sz w:val="26"/>
          <w:rtl w:val="0"/>
        </w:rPr>
        <w:t>должностному лицу – управляющему – индивидуальному предпринимателю ООО «Седьмое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бо» Санникову Анатолию Яковлевичу.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лицами, указанными в статьях 25.1 – 25.5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шениях в течение 10 суток со дня вручения или получения копии постановл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в Сакский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61E2585386A73328AEF7AF05398E9FCC8A3C0E56E1897C16CDCD5F0EB59545F8FF94E6A44A3E828428C3126E6DE16B21E4DC54B085ADt800J" TargetMode="External" /><Relationship Id="rId6" Type="http://schemas.openxmlformats.org/officeDocument/2006/relationships/hyperlink" Target="consultantplus://offline/ref=61E2585386A73328AEF7AF05398E9FCC8A3C0E56E1897C16CDCD5F0EB59545F8FF94E6A2483C82887F99026A24B6653DE7C74AB79BAE89CFtD06J" TargetMode="External" /><Relationship Id="rId7" Type="http://schemas.openxmlformats.org/officeDocument/2006/relationships/hyperlink" Target="consultantplus://offline/ref=61E2585386A73328AEF7AF05398E9FCC8A3C0E56E1897C16CDCD5F0EB59545F8FF94E6A1493B8A8428C3126E6DE16B21E4DC54B085ADt800J" TargetMode="External" /><Relationship Id="rId8" Type="http://schemas.openxmlformats.org/officeDocument/2006/relationships/hyperlink" Target="consultantplus://offline/ref=61E2585386A73328AEF7AF05398E9FCC8A3C0E56E1897C16CDCD5F0EB59545F8FF94E6A44A3E838428C3126E6DE16B21E4DC54B085ADt800J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