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169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Сакской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ежрайонной прокуратуры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о. начальника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втоколонна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 высшее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одного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</w:t>
      </w:r>
      <w:r>
        <w:rPr>
          <w:rFonts w:ascii="Times New Roman" w:eastAsia="Times New Roman" w:hAnsi="Times New Roman" w:cs="Times New Roman"/>
          <w:sz w:val="26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14.1.2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и.о.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межрай</w:t>
      </w:r>
      <w:r>
        <w:rPr>
          <w:rFonts w:ascii="Times New Roman" w:eastAsia="Times New Roman" w:hAnsi="Times New Roman" w:cs="Times New Roman"/>
          <w:sz w:val="26"/>
          <w:rtl w:val="0"/>
        </w:rPr>
        <w:t>онного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младшим советником юстиции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возбуждено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и.о. начальника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Автоколонна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признакам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ст. 14.1.2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 (далее – КоАП РФ).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во вменяемом ей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ст. 14.1.2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признала, не оспаривала фактические обстоятельства дела, изложенные в постановлении о возбуждении дела об административном правонарушении, пояснив,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части отсутствия автобуса с г.р.з. АВ 34282 в реестре транспортных средств Федеральной служб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по надзору в сфере транспорта, </w:t>
      </w:r>
      <w:r>
        <w:rPr>
          <w:rFonts w:ascii="Times New Roman" w:eastAsia="Times New Roman" w:hAnsi="Times New Roman" w:cs="Times New Roman"/>
          <w:sz w:val="26"/>
          <w:rtl w:val="0"/>
        </w:rPr>
        <w:t>указанное транспортное средство внесено в реестр в установленном законом порядке. Таким образом, нарушение устранено в полном объеме.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части выпуска на линию транспортных средств с г.р.з.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АВ34282, АВ04982, АА59882, Е655УВ82 с неработающей аппарату</w:t>
      </w:r>
      <w:r>
        <w:rPr>
          <w:rFonts w:ascii="Times New Roman" w:eastAsia="Times New Roman" w:hAnsi="Times New Roman" w:cs="Times New Roman"/>
          <w:sz w:val="26"/>
          <w:rtl w:val="0"/>
        </w:rPr>
        <w:t>рой спутниковой навигации просила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учесть, что вменяемое правонарушение произошло по причинам, не зависящим от перевозчика. Предприятие осуществило все необходимые мероприятия по обеспечению передачи данных в АИС «ЭРА-Глонасс».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заключен договор с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оказание услуг по идентификации АСН в ГАНС «ЭРА-ГЛОНАСС». Все транспортные средства оснащены необходимым оборудованием спутниковой связи ГЛОНАСС.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Просила </w:t>
      </w:r>
      <w:r>
        <w:rPr>
          <w:rFonts w:ascii="Times New Roman" w:eastAsia="Times New Roman" w:hAnsi="Times New Roman" w:cs="Times New Roman"/>
          <w:sz w:val="26"/>
          <w:rtl w:val="0"/>
        </w:rPr>
        <w:t>учесть деятельное раскаяние, содействие прокуратуре при проведении проверки, устранение нарушения на момент расс</w:t>
      </w:r>
      <w:r>
        <w:rPr>
          <w:rFonts w:ascii="Times New Roman" w:eastAsia="Times New Roman" w:hAnsi="Times New Roman" w:cs="Times New Roman"/>
          <w:sz w:val="26"/>
          <w:rtl w:val="0"/>
        </w:rPr>
        <w:t>мотрения административного дела, совершение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полном объеме,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 ущерба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ограничиться предупреждением.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материалам дела приобщены письменные объяснение лица, с приложением: копия выписки из реестра лицензий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(мск)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копию письма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копию характеристики с места работы.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помощник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 в полном объеме, указав на наличие оснований для привлечения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14.1.2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росил привлечь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дминистративной ответственности, ограничившись предупреждением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заключение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старшего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письменные материалы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представленные суду копии документов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пришел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исходя из следующего.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1.6 КоАП РФ лицо, привлекаемое к административной ответственности, не может быть подвергнуто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Понятие административного правонарушения дается в статье 2.1 Кодекса Российской 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дерации об административных правонарушениях - это противоправное, виновное действие (бе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Административная о</w:t>
      </w:r>
      <w:r>
        <w:rPr>
          <w:rFonts w:ascii="Times New Roman" w:eastAsia="Times New Roman" w:hAnsi="Times New Roman" w:cs="Times New Roman"/>
          <w:sz w:val="26"/>
          <w:rtl w:val="0"/>
        </w:rPr>
        <w:t>тветственность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 3 стать 14.1.2</w:t>
      </w:r>
      <w:hyperlink r:id="rId4" w:anchor="/document/12125267/entry/52706" w:history="1"/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наступает за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существление предпринимательской деятельности в области транспорта с нарушением условий, предусмотренных лицензией,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block_112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статьями 11.23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block_113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11.31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block_1132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11.32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anchor="block_123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12.31.1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anchor="block_1232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12.32.1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0" w:anchor="block_197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настоящего Кодекса, 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влечет предупреждение или наложение административного штрафа на должностных лиц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юридических лиц -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установленных судом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Межрайонной прокуратурой на основании поручения прокуратуры республики проведена проверка исполнения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 законодательства в сфере осуществления пассажирских перевозок.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положений ч. 2 ст. 1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259-ФЗ «Устав автомобильного транспорта и городского наземного электрического транспорта» (далее - Федеральный закон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259-ФЗ) данный закон определяет общие условия перевозок пассажиров и багажа, грузов автобусами, трамваями, троллейбусами, легковыми автомобилями, (грузовыми автомобилями, в том числе с использованием автомобильных прицепов, автомобильных полуприцепов (далее также - транспортные средства),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 3.2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259-ФЗ Местами осуществления лицензируемой деятельности по перевозкам пассажиров и иных лиц автобусами (далее - лицензируемый вид деятельности) являются автобусы, используемые для осуществления лицензируемого вида деятельности и принадлежащие лицензиату на праве собственнос</w:t>
      </w:r>
      <w:r>
        <w:rPr>
          <w:rFonts w:ascii="Times New Roman" w:eastAsia="Times New Roman" w:hAnsi="Times New Roman" w:cs="Times New Roman"/>
          <w:sz w:val="26"/>
          <w:rtl w:val="0"/>
        </w:rPr>
        <w:t>ти или ином законном основании.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Для идентификации мест осуществления лицензируемого вида деятельности используются государственные регистрационные номера автобусов, присвоенные им при постановке на государственный учет.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Изменения сведений о государственных регистрационных номерах автобусов, в том числе включение в реестр лицензий сведений о государственных регистрационных номерах автобусов, приобретенных для осуществления лицензируемого вида деятельности после получения лицензии на лицензируемый вид деятельности, а также исключение из реестра лицензий сведений о государственных регистрационных номерах автобусов,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Постановлением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1616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«О лицензировании деятельности по перевозкам пассажиров и иных лиц автобусами» утверждено Положение о лицензировании деятельности по перевозкам пассажиров и иных лиц автобусами (далее - Положение)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пп. «а» п. 8 Положения лицензиат обязан использовать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экипажем), информация о которых внесена в реестр лицензий.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представлены сведения об автобусах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задействованных для перевозки пассажиров по маршрутам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 значится транспорт</w:t>
      </w:r>
      <w:r>
        <w:rPr>
          <w:rFonts w:ascii="Times New Roman" w:eastAsia="Times New Roman" w:hAnsi="Times New Roman" w:cs="Times New Roman"/>
          <w:sz w:val="26"/>
          <w:rtl w:val="0"/>
        </w:rPr>
        <w:t>ное средство с г.р.з. АВ34282.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Реестру транспортных средств Федеральной службы по надзору в сфере транспорта транспортное средство с г.р.з. АВ34282 отсутствует.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согласно журналу учета прохождения предрейсового контроля технического состояния транспортных средств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автобус выпускался на линию.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транспортное средство эксплуат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ируется без законных оснований: </w:t>
      </w:r>
      <w:r>
        <w:rPr>
          <w:rFonts w:ascii="Times New Roman" w:eastAsia="Times New Roman" w:hAnsi="Times New Roman" w:cs="Times New Roman"/>
          <w:sz w:val="26"/>
          <w:rtl w:val="0"/>
        </w:rPr>
        <w:t>автобус используется для осуществления лицензируемой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деятельности, принадлежащие на праве собственности или ином законном основании, информация о котором не внесена в Реестр лицензий.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пп. «д» п. 8 Положения допускать к лицензируемому виду деятельности автобусы лицензиата, прошедшие в порядке, установленном Министерством транспорта Российской Федерации в соответствии со статьей 20 Федерального закона «О безопасности дорожного движения», предрейсовый или предсменный контроль их технического состояния и оснащенные в случаях и в порядке, которые предусмотрены законодательством Российской Федерации, тахографами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представлены сведения об автобусах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задействованных для перевозки пассажиров по маршрутам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 значатся транспортные сре</w:t>
      </w:r>
      <w:r>
        <w:rPr>
          <w:rFonts w:ascii="Times New Roman" w:eastAsia="Times New Roman" w:hAnsi="Times New Roman" w:cs="Times New Roman"/>
          <w:sz w:val="26"/>
          <w:rtl w:val="0"/>
        </w:rPr>
        <w:t>дства с г.р.з. АВ34282, АВ04982,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АА59882, Е655УВ82 не оснащены работоспособной аппаратурой спутниковой навигации.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частности</w:t>
      </w:r>
      <w:r>
        <w:rPr>
          <w:rFonts w:ascii="Times New Roman" w:eastAsia="Times New Roman" w:hAnsi="Times New Roman" w:cs="Times New Roman"/>
          <w:sz w:val="26"/>
          <w:rtl w:val="0"/>
        </w:rPr>
        <w:t>, не обеспечивается определение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сигналам не менее 2 действующих глобальных навигационных спутниковых систем, одной из которых является глобальная навигационная спутниковая система ГЛОНАСС, передачу инфор</w:t>
      </w:r>
      <w:r>
        <w:rPr>
          <w:rFonts w:ascii="Times New Roman" w:eastAsia="Times New Roman" w:hAnsi="Times New Roman" w:cs="Times New Roman"/>
          <w:sz w:val="26"/>
          <w:rtl w:val="0"/>
        </w:rPr>
        <w:t>мации о географической широте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долготе местоположения транспортного средства, его путевом угле и скорости движения, времени и дате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Федеральной службой по надзору в сфере транспорта может проводиться проверка с помощью планшетного персонального компьютера с установленным программным обеспечением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целью осуществления контроля за безопасностью перевозок пассажиров в режиме реального времени, где было установлено, что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указанным транспортным средствам в программном комплексе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предоставляет навигационные данные.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факты являются нарушениями требований п.п. «д», п. 8 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1616, а также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2216 «Об утверждении Правил оснащения транспортных средств категорий М2, М3 и транспортных средств категории N, используемых для перевозки опасных грузов, аппар</w:t>
      </w:r>
      <w:r>
        <w:rPr>
          <w:rFonts w:ascii="Times New Roman" w:eastAsia="Times New Roman" w:hAnsi="Times New Roman" w:cs="Times New Roman"/>
          <w:sz w:val="26"/>
          <w:rtl w:val="0"/>
        </w:rPr>
        <w:t>атурой спутниковой навигации».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транспортное средство эксплуатируется без законных оснований: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автобус используется для осуществления лицензируемой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деятельности, принадлежащие на праве собственности или ином законном основании, информация о котором не внесена в Реестр лицензий.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Административная ответственность за осуществление предпринимательской деятельности в области транспорта с нарушением условий, предусмотренных лицензией предусмотр</w:t>
      </w:r>
      <w:r>
        <w:rPr>
          <w:rFonts w:ascii="Times New Roman" w:eastAsia="Times New Roman" w:hAnsi="Times New Roman" w:cs="Times New Roman"/>
          <w:sz w:val="26"/>
          <w:rtl w:val="0"/>
        </w:rPr>
        <w:t>ена ч. 3 ст. 14.1.2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приказом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253ок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назначена исполняющим обязанности начальника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Автоколонна.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должностной инструкции начальника участка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Автоколонн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возложено общее руководство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производственно-хозяйственной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деятельностью участка; осуществление контроля проверки технического состояния подвижного состава, закрепленного за участком перед выездом на линию и по возращению с линии; осуществление контроля технического обслуживания подвижного состава, закрепленного за </w:t>
      </w:r>
      <w:r>
        <w:rPr>
          <w:rFonts w:ascii="Times New Roman" w:eastAsia="Times New Roman" w:hAnsi="Times New Roman" w:cs="Times New Roman"/>
          <w:sz w:val="26"/>
          <w:rtl w:val="0"/>
        </w:rPr>
        <w:t>участком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Указанные обстоятельства явились основанием для вынесения постановления о возбуждении дела 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14.1.2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должностным лицом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ст. 14.1.2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 материалами дела,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поручения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требования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выделении специалистов;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справки государственного инспектора ТО ГАДН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МТУ Ространснадзора по ЮФО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журнала учета прохождения предрейсового контроля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требования Сакской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порядке ст. ст. 6, 22 Федерального закона «О прокуратуре Российской Федерации»;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объяснением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выписки из Приказа № 253ок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возложении обязанностей»;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должностной инструкции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Автоколонна, утвержденной генеральным директором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Письменные доказательства суд считает достоверными, объективными и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материалами дела с достоверностью подтверждается 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правонарушения, в связи, с чем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правильно квалифицированы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14.1.2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РФ, как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существление предпринимательской деятельности в области транспорта без лицензии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Каких-либо неустранимых сомнений в виновности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не усматрива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Иных значимых доводов, ставящих под сомнение наличие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объективной стороны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14.1.2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>, суду не предста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части 2 статьи 4.1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нистративную ответственность.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согласно ст. 4.2 КоАП РФ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признает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полное признание вины, положительную характеристику с места работы,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добровольное устранение 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до вынесения постановления по делу об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стративном правонарушении лицом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согласно ст. 4.3 КоАП РФ – </w:t>
      </w:r>
      <w:r>
        <w:rPr>
          <w:rFonts w:ascii="Times New Roman" w:eastAsia="Times New Roman" w:hAnsi="Times New Roman" w:cs="Times New Roman"/>
          <w:sz w:val="26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исключающих производство по делу об административном правонарушении,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свидетельствующих о возможности применения при назначении наказания положений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ст. 2.9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4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4.1.1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судом не установлено, поскольку данное правонарушение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 давности привлечения к административной ответственности,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 не истек.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вонарушения, установленные в ходе рассмотрения дела обстоятельства его совершения,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ряда смягчающих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совершение аналогичных правонарушений,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её имущественное положение,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пришел к выводу о возможности назначения административного наказания в виде предупреждения. Оснований для назначения более строгого наказания не имеется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 ст.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и.о. начальника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Автоколонна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3 ст. 14.1.2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rtl w:val="0"/>
        </w:rPr>
        <w:t>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40" w:right="0" w:firstLine="6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f9848fe20e63c67ae892f82bae7f70e7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7d81a26c72921882d329272297d9fd02/" TargetMode="External" /><Relationship Id="rId6" Type="http://schemas.openxmlformats.org/officeDocument/2006/relationships/hyperlink" Target="https://base.garant.ru/12125267/5e9d527e2fb79893ddc9141179793955/" TargetMode="External" /><Relationship Id="rId7" Type="http://schemas.openxmlformats.org/officeDocument/2006/relationships/hyperlink" Target="https://base.garant.ru/12125267/14a464cfabc0a6cec0a2f98836ce1daf/" TargetMode="External" /><Relationship Id="rId8" Type="http://schemas.openxmlformats.org/officeDocument/2006/relationships/hyperlink" Target="https://base.garant.ru/12125267/da6cea60ba9b83fffedc5c2f0b5f441f/" TargetMode="External" /><Relationship Id="rId9" Type="http://schemas.openxmlformats.org/officeDocument/2006/relationships/hyperlink" Target="https://base.garant.ru/12125267/ba94e6c4c35eb0d12d754b09c4d269a5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