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173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6"/>
          <w:rtl w:val="0"/>
        </w:rPr>
        <w:t>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неженатого, имеющего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охранником АОНПО «Йодобром»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повторно в течение года нарушил установленные вышеуказанным решением суда ограничения, а именно не явился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не явился на регистрацию в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был на работе, впредь нарушение обязуется не допускать, будет заблаговременно подменяться на смене,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он привлечен к ответственности по ч. 1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обжаловал.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209801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 в МО МВД России «Сакский»;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прибыл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был на работе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однократно,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19.24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 на регистрацию не прибыл;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графи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прибытия поднадзорного лица на регистрацию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 обязанность явиться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1-й и 3-й понедельник каждого месяца;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посещения мест, где осуществляется реализация спиртных напитков на розлив, запрета посещения мест проведения массовых мероприятий и участия в них,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ст. 19.24 КоАП РФ;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. в судебном заседании, из которых следует, что он не явился на регистрацию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не явился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18.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наличие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 ч. 1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принимает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наличие смягчающего административную ответственность обстоятельства, и отсутствие отягчающих административную ответственность обстоятельств, в связи с чем, приходит к выводу о назначении административного наказания в виде обязательных работ на срок 20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