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185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(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1 3923 101471),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№ 64-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314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л.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82 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209882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25.1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51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21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с. 00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05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с. 00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077123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20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№ 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и),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ь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 (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е)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т.29.9, 29.10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19.24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