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5-70-198/2021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27 мая 2021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ответственности – Дмитриева С.В.,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Дмитриева Сергея Викторовича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УССР, гражданина Российской Федерации, имеющего сре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нее образование,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412584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26.05.2021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Дмитриев С.В. находясь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внутривенной инъекции употребил наркотическое средство «Кристаллы соли», что подтверждается справкой ХТИ №1168 от 13.05.2021, чем допустил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Дмитриев С.В.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Дмитриева С.В.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Дмитриева С.В.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412584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26.05.2021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22.04.2021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117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22.04.2021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22.04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Дмитриева С.В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Дмитриева С.В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ление наркотических средств или психотропных веществ без назначения врача либо новых поте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циально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Дмитриеву С.В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3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Дмитриева С.В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на пре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мет страдает </w:t>
      </w:r>
      <w:r>
        <w:rPr>
          <w:rFonts w:ascii="Times New Roman" w:eastAsia="Times New Roman" w:hAnsi="Times New Roman" w:cs="Times New Roman"/>
          <w:sz w:val="23"/>
          <w:rtl w:val="0"/>
        </w:rPr>
        <w:t>ли он наркоманией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Дмитриева Сергея Викторовича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правонарушения, предусмотренного ч. 1 ст. 6.9 КоАП РФ и назначить ему наказание в виде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Дмитриева Сергея Викторовича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данной обязанности возложить на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 по месту жительства лица с направлением копии постановления в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