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 xml:space="preserve"> Каро Грачиковича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 г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раждан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получивше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и проживаю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щего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совершения исполнительных действий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3857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>-ИП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 ст. 32.2 КоАП РФ 60-дневный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</w:t>
      </w:r>
      <w:r>
        <w:rPr>
          <w:rFonts w:ascii="Times New Roman" w:eastAsia="Times New Roman" w:hAnsi="Times New Roman" w:cs="Times New Roman"/>
          <w:sz w:val="28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48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то есть своими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ствиями совершил административное правонарушение, предусмотренное ст. 20.25 ч. 1 КоАП РФ – неуплата административного штрафа в срок, предусмотренный наст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нарушении.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им оплачен, однако после установленного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коном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доказательства и фактические данные в совокупности, мировой 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ходит к выво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своё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68</w:t>
      </w:r>
      <w:r>
        <w:rPr>
          <w:rFonts w:ascii="Times New Roman" w:eastAsia="Times New Roman" w:hAnsi="Times New Roman" w:cs="Times New Roman"/>
          <w:sz w:val="28"/>
          <w:rtl w:val="0"/>
        </w:rPr>
        <w:t>/22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71-</w:t>
      </w:r>
      <w:r>
        <w:rPr>
          <w:rFonts w:ascii="Times New Roman" w:eastAsia="Times New Roman" w:hAnsi="Times New Roman" w:cs="Times New Roman"/>
          <w:sz w:val="28"/>
          <w:rtl w:val="0"/>
        </w:rPr>
        <w:t>486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38574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/22/82020-ИП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должника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доказательства являются последовательными, непротиворечив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 и согласуются между собой, протокол об административном правонарушении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ставлен без нарушений закона.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мировой судья считает достоверными, объекти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ными и допустимыми доказательствами по делу, поскольку они получены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ваниями закона, имеют надлежащую процессуальную форму.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ветственность за неуплату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об уплате административного штрафа, по истечении срока,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разделения или территориального органа, иного государственного органа, рассмо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ревших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нии, составляет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в отношении лица, не уплатившего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штрафа, и по истечении установленного срока в случае неуплаты штрафа в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лено общее правило, в соответствии с которым дело рассматривается по месту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правонарушения.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ляется место совершения противоправного действия независимо от места наступл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его последствий, а если такое деяние носит длящийся характер, - место оконч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противоправной деятельности, ее пресечения; если правонарушение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определении территориальной подсудности дел об административных правонарушениях, объективная сторона которых выр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жается в бездействии в виде неисполнения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ответственности, 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своей вины,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смягчающим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ответственность,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личность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привлека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 xml:space="preserve"> Каро Грачиковича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