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8"/>
          <w:rtl w:val="0"/>
        </w:rPr>
        <w:t>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 xml:space="preserve"> Каро Грачиковича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 г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раждан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получивше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и проживаю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щего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3857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>-ИП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</w:t>
      </w:r>
      <w:r>
        <w:rPr>
          <w:rFonts w:ascii="Times New Roman" w:eastAsia="Times New Roman" w:hAnsi="Times New Roman" w:cs="Times New Roman"/>
          <w:sz w:val="28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48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то есть своими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ствиями совершил административное правонарушение, предусмотренное ст. 20.25 ч. 1 КоАП РФ – неуплата административного штрафа в срок, предусмотренный наст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нарушении.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им оплачен, однако после установленного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коном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совокупности,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ходит к выво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своё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71-</w:t>
      </w:r>
      <w:r>
        <w:rPr>
          <w:rFonts w:ascii="Times New Roman" w:eastAsia="Times New Roman" w:hAnsi="Times New Roman" w:cs="Times New Roman"/>
          <w:sz w:val="28"/>
          <w:rtl w:val="0"/>
        </w:rPr>
        <w:t>48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8"/>
          <w:rtl w:val="0"/>
        </w:rPr>
        <w:t>38576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/22/82020-ИП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должника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ставлен без нарушений закона.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мировой судья считает достоверными, объекти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ными и допустимыми доказательствами по делу, поскольку они получены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ветственность за неуплату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об уплате административного штрафа, по истечении срока,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разделения или территориального органа, иного государственного органа, рассмо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нии, составляет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Кодекса, в отношении лица, не уплатившего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штрафа, и по истечении установленного срока в случае неуплаты штрафа в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 "О некоторых вопросах, возникающих у судов при применении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лено общее правило, в соответствии с которым дело рассматривается по месту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правонарушения.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ляется место совершения противоправного действия независимо от места наступл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его последствий, а если такое деяние носит длящийся характер, - место оконч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противоправной деятельности, ее пресечения; если правонарушение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определении территориальной подсудности дел об административных правонарушениях, объективная сторона которых выр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жается в бездействии в виде неисполнения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ответственности, его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своей вины,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смягчающим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ответственность,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личность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положение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привлека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pacing w:val="-4"/>
          <w:sz w:val="28"/>
          <w:rtl w:val="0"/>
        </w:rPr>
        <w:t xml:space="preserve"> Каро Грачиковича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