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224/2020</w:t>
      </w:r>
    </w:p>
    <w:p>
      <w:pPr>
        <w:bidi w:val="0"/>
        <w:spacing w:before="0" w:beforeAutospacing="0" w:after="0" w:afterAutospacing="0"/>
        <w:ind w:left="0" w:right="0" w:firstLine="851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851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20 октября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Бидненко В.А., рассмотрев в открытом судебном заседании материалы дела об административном правонарушении, поступившие из ОГИБДД МО МВД Российской Федерации «Сакский»,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Бидненко Вадима Анатольевича,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имеющего высшее образование, холостого, работающего начальником участка ООО СМУ «Родная гавань», 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ст.12.34 ч.1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851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82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095802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03.09.2020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ходе обследования улично-дорожной сети на месте ДТП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произошедшего 20.07.2020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выявлены недостатки УДС при проведении дорожных работ</w:t>
      </w:r>
      <w:r>
        <w:rPr>
          <w:rFonts w:ascii="Times New Roman" w:eastAsia="Times New Roman" w:hAnsi="Times New Roman" w:cs="Times New Roman"/>
          <w:sz w:val="28"/>
          <w:rtl w:val="0"/>
        </w:rPr>
        <w:t>, а именно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месте проведения дорожных работ,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направлению от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сторону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>тсутствует необходимая дорожно знаковая информация (дорожный знак 1.25 «Дорожные работы», 3.20 «Обгон запрещен», 1.20.2-1.20.3 «Сужение дороги справа-слева», 3.24 «Ограничение максимальной скорости».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 w:firstLine="3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Места проведения дорожных работ не обустроены ограждающими и направляющими устройствами, а в тёмное время суток и в условиях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недостаточной видимости дополнительно красными или жёлтыми сигнальными огнями, п. 14 ОП ПДД РФ.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Нарушены п. 4.1.4, 4.1.5, 4.2.3, 4.3.3, 5.1.1, 7.3, 7.4, ОДМ 218.6.019-2016, а именно: места производства работ обустраиваются техническими средствами организации дорожного движения согласно ГОСТ-Р 32757-14, ГОСТ-52289- 19 «Временные технические средства дорожного регулирования», для обустройства мест производства работ используются, временные дорожные знаки, временную разметку, ограждающие и направляющие устройства, средства сигнализации.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 6.4.2 ОДМ 218.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6.019-2016 «Временные дорожные знаки </w:t>
      </w:r>
      <w:r>
        <w:rPr>
          <w:rFonts w:ascii="Times New Roman" w:eastAsia="Times New Roman" w:hAnsi="Times New Roman" w:cs="Times New Roman"/>
          <w:sz w:val="28"/>
          <w:rtl w:val="0"/>
        </w:rPr>
        <w:t>применяются в соответствии с п. 8.1 настоящих рекомендаций. Знаки устанавливаются последовательно, начиная с места, наиболее удаленного от рабочей зоны. Порядок установки дублирующих знаков аналогичен порядку установки основных временных знаков и проводится под контролем лица, обеспечивающего безопасность работников от наезда транспортных средств при пересечении ими проезжей части.»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нарушении п. 5.1.</w:t>
      </w:r>
      <w:r>
        <w:rPr>
          <w:rFonts w:ascii="Times New Roman" w:eastAsia="Times New Roman" w:hAnsi="Times New Roman" w:cs="Times New Roman"/>
          <w:sz w:val="28"/>
          <w:rtl w:val="0"/>
        </w:rPr>
        <w:t>1 ГОСТ-50597-17, п. 1.5 ПДД РФ, на проезжей части находятся предметы (деревянные поддоны с плиткой), что создаёт помехи для движения.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Колодец смотрового люка занижен по отношению к проезжей части более чем на 10 см, в нарушении п. 5.2.5 ГОСТ-50597-17, отсутствует крышка смотрового люка в нарушении п. 5.2.7 ГОСТ-50597-17.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 должностным лицом ООО «СМУ» Родная Гавань», начальником участка по производству дорожных работ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Саки, Бидненко В.</w:t>
      </w:r>
      <w:r>
        <w:rPr>
          <w:rFonts w:ascii="Times New Roman" w:eastAsia="Times New Roman" w:hAnsi="Times New Roman" w:cs="Times New Roman"/>
          <w:sz w:val="28"/>
          <w:rtl w:val="0"/>
        </w:rPr>
        <w:t>А., не соблюдены требования по обеспечению безопасности дорожного движения при содержании дорог в нарушении п. 14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движения, утвержденных постановлением Совета Министров - Правительства Российской Федерации от 23 октября 1993 г. №1090.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судебное заседание Бидненко В.А. не явился, уведомлялся о дне, месте и времени слушания дела надлежащим образом, телефонограммой от 06.10.2020 г., причины неявки суду не сообщил.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8"/>
          <w:rtl w:val="0"/>
        </w:rPr>
        <w:t>При указанных обстоятельствах суд считает возможным рассмотреть дело в отсутствие не явившегося лица, привлекаемого к административной ответственности.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5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статьи 12.34 ч.1 Ко</w:t>
      </w:r>
      <w:r>
        <w:rPr>
          <w:rFonts w:ascii="Times New Roman" w:eastAsia="Times New Roman" w:hAnsi="Times New Roman" w:cs="Times New Roman"/>
          <w:sz w:val="28"/>
          <w:rtl w:val="0"/>
        </w:rPr>
        <w:t>АП РФ несоблюдение требований по обеспечению безопасности дорожного движения при ремонте и содержании дорог, железнодорожных переездов или других дорожных сооружений либо не принятие мер к устранению помех в дорожном движении, запрещению или ограничению дорожного движения на участках дорог, если пользование такими участками угрожает безопасности дорожного движения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влечет наложение административного штрафа на должностных лиц ответственных за состояние дорог в размере от двадцати до тридцати тысяч рублей. 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Изучив материалы дела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доказательства и фактические данные в совоку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ности, </w:t>
      </w:r>
      <w:r>
        <w:rPr>
          <w:rFonts w:ascii="Times New Roman" w:eastAsia="Times New Roman" w:hAnsi="Times New Roman" w:cs="Times New Roman"/>
          <w:sz w:val="28"/>
          <w:rtl w:val="0"/>
        </w:rPr>
        <w:t>суд приходит к выводу, что вина Бидненко В.А.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 вменяемом ему правонарушении нашла свое подтверждение в судебном заседании, исходя из следующего.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Бидненко В.А.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инкриминируемом ему правонарушении подтверждается: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актом о выявленных недостатках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эксплуатационном состоянии автомобильных дорог, </w:t>
      </w:r>
      <w:r>
        <w:rPr>
          <w:rFonts w:ascii="Times New Roman" w:eastAsia="Times New Roman" w:hAnsi="Times New Roman" w:cs="Times New Roman"/>
          <w:sz w:val="28"/>
          <w:rtl w:val="0"/>
        </w:rPr>
        <w:t>фототаблицей</w:t>
      </w:r>
      <w:r>
        <w:rPr>
          <w:rFonts w:ascii="Times New Roman" w:eastAsia="Times New Roman" w:hAnsi="Times New Roman" w:cs="Times New Roman"/>
          <w:sz w:val="28"/>
          <w:rtl w:val="0"/>
        </w:rPr>
        <w:t>, копией контракт</w:t>
      </w:r>
      <w:r>
        <w:rPr>
          <w:rFonts w:ascii="Times New Roman" w:eastAsia="Times New Roman" w:hAnsi="Times New Roman" w:cs="Times New Roman"/>
          <w:sz w:val="28"/>
          <w:rtl w:val="0"/>
        </w:rPr>
        <w:t>а на выполнение работ от 05.11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.2019, копией приказа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 ООО «</w:t>
      </w:r>
      <w:r>
        <w:rPr>
          <w:rFonts w:ascii="Times New Roman" w:eastAsia="Times New Roman" w:hAnsi="Times New Roman" w:cs="Times New Roman"/>
          <w:sz w:val="28"/>
          <w:rtl w:val="0"/>
        </w:rPr>
        <w:t>СМУ «Родная Гавань» от 28.03.2020 «О назначении ответственного лица»</w:t>
      </w:r>
      <w:r>
        <w:rPr>
          <w:rFonts w:ascii="Times New Roman" w:eastAsia="Times New Roman" w:hAnsi="Times New Roman" w:cs="Times New Roman"/>
          <w:sz w:val="28"/>
          <w:rtl w:val="0"/>
        </w:rPr>
        <w:t>, копией должнос</w:t>
      </w:r>
      <w:r>
        <w:rPr>
          <w:rFonts w:ascii="Times New Roman" w:eastAsia="Times New Roman" w:hAnsi="Times New Roman" w:cs="Times New Roman"/>
          <w:sz w:val="28"/>
          <w:rtl w:val="0"/>
        </w:rPr>
        <w:t>тной инструкции производителя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(прораба), утвержденной 15.10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.2015,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схемой </w:t>
      </w:r>
      <w:r>
        <w:rPr>
          <w:rFonts w:ascii="Times New Roman" w:eastAsia="Times New Roman" w:hAnsi="Times New Roman" w:cs="Times New Roman"/>
          <w:sz w:val="28"/>
          <w:rtl w:val="0"/>
        </w:rPr>
        <w:t>организации движения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приказа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ООО «СМУ Родная Гавань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</w:t>
      </w:r>
      <w:r>
        <w:rPr>
          <w:rFonts w:ascii="Times New Roman" w:eastAsia="Times New Roman" w:hAnsi="Times New Roman" w:cs="Times New Roman"/>
          <w:sz w:val="28"/>
          <w:rtl w:val="0"/>
        </w:rPr>
        <w:t>назначении ответственных лиц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Бидненко В.А.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назначен ответственным за производство работ. 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Бидненко В.А.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квалифицирует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123401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ч.1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12.34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 несоблюдение требований по обеспечению безопасности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дорожного движения при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ремонте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дорог.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правонарушение совершено умышленно, так как </w:t>
      </w:r>
      <w:r>
        <w:rPr>
          <w:rFonts w:ascii="Times New Roman" w:eastAsia="Times New Roman" w:hAnsi="Times New Roman" w:cs="Times New Roman"/>
          <w:sz w:val="28"/>
          <w:rtl w:val="0"/>
        </w:rPr>
        <w:t>Бидненко В.А.</w:t>
      </w:r>
      <w:r>
        <w:rPr>
          <w:rFonts w:ascii="Times New Roman" w:eastAsia="Times New Roman" w:hAnsi="Times New Roman" w:cs="Times New Roman"/>
          <w:sz w:val="28"/>
          <w:rtl w:val="0"/>
        </w:rPr>
        <w:t>, знал о необходимости установки временных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дорожных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знаков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направляющих устройств, не выполнил указанные требования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Бидненко В.А.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наказания учитывается характер совершенного им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правонарушения, его личность, степень вины.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учитывает, что совершенное </w:t>
      </w:r>
      <w:r>
        <w:rPr>
          <w:rFonts w:ascii="Times New Roman" w:eastAsia="Times New Roman" w:hAnsi="Times New Roman" w:cs="Times New Roman"/>
          <w:sz w:val="28"/>
          <w:rtl w:val="0"/>
        </w:rPr>
        <w:t>Бидненко В.А.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 в области дорожного движения (</w:t>
      </w:r>
      <w:hyperlink r:id="rId4" w:anchor="/document/12125267/entry/123401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ст.12.34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ч.1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 об административных правонарушениях) представляет повышенную опасность для неопределенного круга лиц и может привести к тяжким последствиям, значительному материальному ущербу.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отягчающих 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99011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 29.9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91001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 29.10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суд, -</w:t>
      </w:r>
    </w:p>
    <w:p>
      <w:pPr>
        <w:bidi w:val="0"/>
        <w:spacing w:before="0" w:beforeAutospacing="0" w:after="0" w:afterAutospacing="0"/>
        <w:ind w:left="0" w:right="0" w:firstLine="851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Бидненко Вадима Анатольевича </w:t>
      </w:r>
      <w:r>
        <w:rPr>
          <w:rFonts w:ascii="Times New Roman" w:eastAsia="Times New Roman" w:hAnsi="Times New Roman" w:cs="Times New Roman"/>
          <w:sz w:val="28"/>
          <w:rtl w:val="0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123401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ч.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1 ст. 12.34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 и назначить ему административное наказ</w:t>
      </w:r>
      <w:r>
        <w:rPr>
          <w:rFonts w:ascii="Times New Roman" w:eastAsia="Times New Roman" w:hAnsi="Times New Roman" w:cs="Times New Roman"/>
          <w:sz w:val="28"/>
          <w:rtl w:val="0"/>
        </w:rPr>
        <w:t>ание в виде штрафа в размере 20</w:t>
      </w:r>
      <w:r>
        <w:rPr>
          <w:rFonts w:ascii="Times New Roman" w:eastAsia="Times New Roman" w:hAnsi="Times New Roman" w:cs="Times New Roman"/>
          <w:sz w:val="28"/>
          <w:rtl w:val="0"/>
        </w:rPr>
        <w:t>000 (двадцать тысяч) рублей.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зачислению по реквизитам: Получатель платежа: УФК по Республике Крым (МО ОМВД России «Сакский»), банк получателя: отделение Республика Крым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ЮГУ </w:t>
      </w:r>
      <w:r>
        <w:rPr>
          <w:rFonts w:ascii="Times New Roman" w:eastAsia="Times New Roman" w:hAnsi="Times New Roman" w:cs="Times New Roman"/>
          <w:sz w:val="28"/>
          <w:rtl w:val="0"/>
        </w:rPr>
        <w:t>ЦБ РФ, ИНН получателя: 9107000095, КПП 910701001, расчётный счет: 40101810335100010001, БИК Банка получ</w:t>
      </w:r>
      <w:r>
        <w:rPr>
          <w:rFonts w:ascii="Times New Roman" w:eastAsia="Times New Roman" w:hAnsi="Times New Roman" w:cs="Times New Roman"/>
          <w:sz w:val="28"/>
          <w:rtl w:val="0"/>
        </w:rPr>
        <w:t>ателя 043510001, КБК 18811601121010001140</w:t>
      </w:r>
      <w:r>
        <w:rPr>
          <w:rFonts w:ascii="Times New Roman" w:eastAsia="Times New Roman" w:hAnsi="Times New Roman" w:cs="Times New Roman"/>
          <w:sz w:val="28"/>
          <w:rtl w:val="0"/>
        </w:rPr>
        <w:t>, ОКТМО 35</w:t>
      </w:r>
      <w:r>
        <w:rPr>
          <w:rFonts w:ascii="Times New Roman" w:eastAsia="Times New Roman" w:hAnsi="Times New Roman" w:cs="Times New Roman"/>
          <w:sz w:val="28"/>
          <w:rtl w:val="0"/>
        </w:rPr>
        <w:t>721000, УИН 18810491202</w:t>
      </w:r>
      <w:r>
        <w:rPr>
          <w:rFonts w:ascii="Times New Roman" w:eastAsia="Times New Roman" w:hAnsi="Times New Roman" w:cs="Times New Roman"/>
          <w:sz w:val="28"/>
          <w:rtl w:val="0"/>
        </w:rPr>
        <w:t>600004746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rtl w:val="0"/>
        </w:rPr>
        <w:t>Бидненко В.А.</w:t>
      </w:r>
      <w:r>
        <w:rPr>
          <w:rFonts w:ascii="Times New Roman" w:eastAsia="Times New Roman" w:hAnsi="Times New Roman" w:cs="Times New Roman"/>
          <w:sz w:val="28"/>
          <w:rtl w:val="0"/>
        </w:rPr>
        <w:t>, что в соответствии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322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ч.1.3 ст. 32.2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120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121011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128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статьей 12.8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12906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частями 6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12907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7 статьи 12.9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12123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121505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1216031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1224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12.26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122703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Разъяснить, что 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02501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правонарушениях, неуплата административного штрафа в срок влечет наложение штрафа в двукратном размере суммы неуплаченного штрафа или административного ареста до 15 суток, или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