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252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УФССП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образование среднее специальное, женатого, имеющего несовершеннолетнего ребенка, трудоустроенного шеф-поваром в </w:t>
      </w:r>
      <w:r>
        <w:rPr>
          <w:rFonts w:ascii="Times New Roman" w:eastAsia="Times New Roman" w:hAnsi="Times New Roman" w:cs="Times New Roman"/>
          <w:sz w:val="28"/>
          <w:rtl w:val="0"/>
        </w:rPr>
        <w:t>гостинице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Донна-Роза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являющегося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 и пояснил, что штраф он не уплатил, поскольку не имел достаточных денежных средств, так как на то время не работал.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оплатил только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того, как пристав арестовал его счета.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Копию постановления мирового судьи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лишения права управления транспортным средством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 мес.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получал, однако не обратил внимание на разъяснения, указанные в постановлении о том, что за неуплату штрафа предусмотрена ответственность, а также, что при отсутствии денежных средств уплату штрафа можно отсрочить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 также учесть наличие на иждивении несовершеннолетнего ребенка и супруги-инвалида.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195/23/82020-АП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постановления мирового судьи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оставленного без изменения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соответственно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назначено административное наказание в виде административного штрафа по ч. 1 ст. 12.26 КоАП РФ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которое соответственно должно было быть исполнено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на момент составления объяснений он не оплатил;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уведомлений об аресте счетов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он оплатил только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пропуском установленного законом срока более чем на месяц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ребенка, а также уплату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 для признания деяния малозначительным судом не установлено,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имея реальную возможность подать заявление об отсрочке или рассрочке штрафа, а также имея возможность погашать штраф частично, проигнорировал наказание и отнесся к нему безразлично, просрочил оплату штрафа более чем на месяц, что суд расценивает как умышленное бездействие, которое причиняет вред охраняемым общественным отношениям, в том числе подрывает авторитет власти и неотвратимость наказания.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который работает, однако имеет на иждивении несовершеннолетнего ребенка и супругу инвалида, сумму неуплаченного в срок штрафа, которая является значительной,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учитывая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совокупности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отсутствие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минимальном размере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