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290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временно нетрудоустроенной, незамужней, несовершеннолетних детей не имеющей,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привлекаемой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8204 № 087246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явилась, вину в совершении административного правонарушения признала, в содеянном раскаялась, и пояснила, что штраф не оплатила, так как думала, что ей придет уведомление о необходимости оплаты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копию постановления она не получала.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238001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8204 № 087246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она не заплатила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ч. 1 ст. 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 не уплатила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копию постановления она не получала, суд оценивает критически, поскольку ни опровергаются содержанием копии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копию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она является пенсионеркой, ранее к административной ответственности по ч. 1 ст. 20.25 КоАП РФ не привлекалась.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каяние в содеянном.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Небрежное отношение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авторитет государственной власти. Малозначиельным данное нарушение не является, исходя из того,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 её 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0410760300705002902420150.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