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12/2021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сентября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прокурора Респу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Евгения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 заместителем главы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аемой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прокуратурой проведена проверка соблюдения требований законодательства о порядке рассмотрения обращений граждан должностными лицами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рассм</w:t>
      </w:r>
      <w:r>
        <w:rPr>
          <w:rFonts w:ascii="Times New Roman" w:eastAsia="Times New Roman" w:hAnsi="Times New Roman" w:cs="Times New Roman"/>
          <w:sz w:val="26"/>
          <w:rtl w:val="0"/>
        </w:rPr>
        <w:t>отрении обращения Янышева С.В.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проведении проверки установлено, что заяв</w:t>
      </w:r>
      <w:r>
        <w:rPr>
          <w:rFonts w:ascii="Times New Roman" w:eastAsia="Times New Roman" w:hAnsi="Times New Roman" w:cs="Times New Roman"/>
          <w:sz w:val="26"/>
          <w:rtl w:val="0"/>
        </w:rPr>
        <w:t>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Янышевым С.В. 08.06</w:t>
      </w:r>
      <w:r>
        <w:rPr>
          <w:rFonts w:ascii="Times New Roman" w:eastAsia="Times New Roman" w:hAnsi="Times New Roman" w:cs="Times New Roman"/>
          <w:sz w:val="26"/>
          <w:rtl w:val="0"/>
        </w:rPr>
        <w:t>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подано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письменное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обращение, которое зарегистрировано 08.06.2021г. за № Я-40/1121/2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данного обращения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Радионову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15.07.2021г. за №Я-40/1121/2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и направлен в адрес заявителя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тветственность за данное нарушение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Радионов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не явился, уведомлен надлежащим образом – СМС сообщением от 09.09.2021г. В судебный участок 21.09.2021г. поступило заявление о рассм</w:t>
      </w:r>
      <w:r>
        <w:rPr>
          <w:rFonts w:ascii="Times New Roman" w:eastAsia="Times New Roman" w:hAnsi="Times New Roman" w:cs="Times New Roman"/>
          <w:sz w:val="26"/>
          <w:rtl w:val="0"/>
        </w:rPr>
        <w:t>отрении дела в его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омощник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нного прок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Мирошкина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просила привлечь </w:t>
      </w: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всестороннее, полное, объективное и своевременное выяснение обстоятельств каждого дела, разрешение </w:t>
      </w:r>
      <w:r>
        <w:rPr>
          <w:rFonts w:ascii="Times New Roman" w:eastAsia="Times New Roman" w:hAnsi="Times New Roman" w:cs="Times New Roman"/>
          <w:sz w:val="26"/>
          <w:rtl w:val="0"/>
        </w:rPr>
        <w:t>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3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5.39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6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5.63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1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46661/entry/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Янышевым С.В. 08.06.2021 в администрацию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подано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письменное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обращение, которое зарегистрировано 08.06.2021г. за № Я-40/1121/2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Рассмотрение данного обращения поручено </w:t>
      </w:r>
      <w:r>
        <w:rPr>
          <w:rFonts w:ascii="Times New Roman" w:eastAsia="Times New Roman" w:hAnsi="Times New Roman" w:cs="Times New Roman"/>
          <w:sz w:val="26"/>
          <w:rtl w:val="0"/>
        </w:rPr>
        <w:t>Радионову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результатам рассмотрения данного обращения 15.07.2021г. за №Я-40/1121/2 администрацией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заявителю дан письменный ответ,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и направлен в адрес заявителя по месту жительства, в нарушение ч.1 ст. 12 Федерального Закона №59-ФЗ, т.е. по истечению срока установленного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Заместитель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Радионов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лицом, выполняющим организационно-распорядительные функции, т.е. </w:t>
      </w:r>
      <w:r>
        <w:rPr>
          <w:rFonts w:ascii="Times New Roman" w:eastAsia="Times New Roman" w:hAnsi="Times New Roman" w:cs="Times New Roman"/>
          <w:sz w:val="26"/>
          <w:rtl w:val="0"/>
        </w:rPr>
        <w:t>Радионов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 1 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срок давности привлечения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составляет три месяца со дня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Сроки давности привлечения к административной ответственности, 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согласно 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по делу об административном правонарушении, рассматриваемому судьей, не может быть вынесено по истечении трёх месяцев со дня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факту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Радионовым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законодательства об обращениях гра</w:t>
      </w:r>
      <w:r>
        <w:rPr>
          <w:rFonts w:ascii="Times New Roman" w:eastAsia="Times New Roman" w:hAnsi="Times New Roman" w:cs="Times New Roman"/>
          <w:sz w:val="26"/>
          <w:rtl w:val="0"/>
        </w:rPr>
        <w:t>ждан по заявлению Янышева С.В.</w:t>
      </w:r>
      <w:r>
        <w:rPr>
          <w:rFonts w:ascii="Times New Roman" w:eastAsia="Times New Roman" w:hAnsi="Times New Roman" w:cs="Times New Roman"/>
          <w:sz w:val="26"/>
          <w:rtl w:val="0"/>
        </w:rPr>
        <w:t>, как было установлено судом, не истекли.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 суд не находит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 смягчающих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Радионов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штрафа в минимальном размере в пределах,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</w:t>
      </w:r>
      <w:r>
        <w:rPr>
          <w:rFonts w:ascii="Times New Roman" w:eastAsia="Times New Roman" w:hAnsi="Times New Roman" w:cs="Times New Roman"/>
          <w:sz w:val="26"/>
          <w:rtl w:val="0"/>
        </w:rPr>
        <w:t>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5.59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Радионова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Евгения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5.59 КоАП РФ и назначить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828 1 16 0105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3 0100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