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322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 детей не имеющего, не являющегося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трудоустроенного, военн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не военнообязанного,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пояснил, что не оплатил штраф так как потерял постановление,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необходимости оплаты штрафа. </w:t>
      </w:r>
      <w:r>
        <w:rPr>
          <w:rFonts w:ascii="Times New Roman" w:eastAsia="Times New Roman" w:hAnsi="Times New Roman" w:cs="Times New Roman"/>
          <w:sz w:val="26"/>
          <w:rtl w:val="0"/>
        </w:rPr>
        <w:t>Штраф он заплатил после составления протокола.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237327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085925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не заплатила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штраф не уплатила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копию постановления она не получала, суд оценивает критически, поскольку ни опровергаются содержанием копии постановления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копию постановления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 является пенсионер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по ч. 1 ст. 20.25 КоАП РФ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, оплату штрафа после составления протокола, что подтверждается копией соответствующей квитанции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Небрежное отношение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авторитет государственной власти. Малозначиельным данное нарушение не является, исходя из того,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 её 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единый казначейский счет 40102810645370000035, казначейский счет 03100643000000017</w:t>
      </w:r>
      <w:r>
        <w:rPr>
          <w:rFonts w:ascii="Times New Roman" w:eastAsia="Times New Roman" w:hAnsi="Times New Roman" w:cs="Times New Roman"/>
          <w:b/>
          <w:sz w:val="26"/>
          <w:rtl w:val="0"/>
        </w:rPr>
        <w:t>5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</w:t>
      </w:r>
      <w:r>
        <w:rPr>
          <w:rFonts w:ascii="Times New Roman" w:eastAsia="Times New Roman" w:hAnsi="Times New Roman" w:cs="Times New Roman"/>
          <w:b/>
          <w:sz w:val="26"/>
          <w:rtl w:val="0"/>
        </w:rPr>
        <w:t>5003222420108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