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иждивенцев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 по инвалидности, инвалида 3 группы,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077265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пояснил, что не оплатил штраф так как </w:t>
      </w:r>
      <w:r>
        <w:rPr>
          <w:rFonts w:ascii="Times New Roman" w:eastAsia="Times New Roman" w:hAnsi="Times New Roman" w:cs="Times New Roman"/>
          <w:sz w:val="26"/>
          <w:rtl w:val="0"/>
        </w:rPr>
        <w:t>забыл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необходимости оплаты штрафа. </w:t>
      </w:r>
      <w:r>
        <w:rPr>
          <w:rFonts w:ascii="Times New Roman" w:eastAsia="Times New Roman" w:hAnsi="Times New Roman" w:cs="Times New Roman"/>
          <w:sz w:val="26"/>
          <w:rtl w:val="0"/>
        </w:rPr>
        <w:t>Штраф им не оплачен до настоящего времени, так как он ждет получения пенсии.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237641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077265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 является пенсионер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по ч. 1 ст. 20.25 КоАП РФ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инвалидности 3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 во внимание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0410760300705003682420138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