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373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неполное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не имеющего на иждивении несовершеннолетних детей, инвалид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группы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зарегистрированное место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забыл о том, что был привлечен к административной ответственности в виде штрафа. В содеянном раскаялся, просил назначить наказание в виде штрафа. Также указал, что работает неофициально на мельнице. Доход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день. Работает не каждый день, однако средства для оплаты штрафа имеет.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отношении него протокола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6"/>
          <w:rtl w:val="0"/>
        </w:rPr>
        <w:t>162506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копия которого вручена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и которое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вступило в законную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СООП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базы данных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</w:t>
      </w:r>
      <w:r>
        <w:rPr>
          <w:rFonts w:ascii="Times New Roman" w:eastAsia="Times New Roman" w:hAnsi="Times New Roman" w:cs="Times New Roman"/>
          <w:sz w:val="26"/>
          <w:rtl w:val="0"/>
        </w:rPr>
        <w:t>й следует, что штраф не 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>им не оплачен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оно вступило в силу по истечении 10 суток, то есть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соответственно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Ошибочное указание в протоколе об административном правонарушении времени совершения административного правонарушения на квалификацию деяния не влияет.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ответственность, предусмотренных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значительно пропустил срок уплаты штрафа,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оплатил штраф до настоящего времени,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 его доводы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неуплате штрафа в связи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тем, что он о штрафе забыл, </w:t>
      </w:r>
      <w:r>
        <w:rPr>
          <w:rFonts w:ascii="Times New Roman" w:eastAsia="Times New Roman" w:hAnsi="Times New Roman" w:cs="Times New Roman"/>
          <w:sz w:val="26"/>
          <w:rtl w:val="0"/>
        </w:rPr>
        <w:t>нельзя признать уважительными, оснований для признания нарушения малозначительным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как следует из его объяснений, подрабатывает неофициально, и имеет доход для уплаты штрафа, учитывая также совокупность смягчающих административную ответственность обстоятельств и отсутствие отягчающих, суд считает возможным назначить ему минимальное наказание в пределах санкции статьи, а именно административный штраф в двойном размере от неуплаченной в срок суммы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3732320139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