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986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9867B3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C92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986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986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0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7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Титаренко </w:t>
      </w:r>
      <w:r w:rsidR="006122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В.Е.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1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1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1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29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 Монтаж Плюс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61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</w:t>
      </w:r>
      <w:r w:rsidR="003B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В.Е.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СМП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612299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8A32EF" w:rsidR="00E25AAB">
        <w:rPr>
          <w:rFonts w:ascii="Times New Roman" w:hAnsi="Times New Roman" w:cs="Times New Roman"/>
          <w:sz w:val="28"/>
          <w:szCs w:val="28"/>
        </w:rPr>
        <w:t>ый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</w:t>
      </w:r>
      <w:r w:rsidRPr="008A32EF" w:rsidR="00390BA8">
        <w:rPr>
          <w:rFonts w:ascii="Times New Roman" w:hAnsi="Times New Roman" w:cs="Times New Roman"/>
          <w:sz w:val="28"/>
          <w:szCs w:val="28"/>
        </w:rPr>
        <w:t>однако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</w:t>
      </w:r>
      <w:r w:rsidR="00ED5E9B">
        <w:rPr>
          <w:rFonts w:ascii="Times New Roman" w:hAnsi="Times New Roman" w:cs="Times New Roman"/>
          <w:sz w:val="28"/>
          <w:szCs w:val="28"/>
        </w:rPr>
        <w:t>01 декабря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B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r w:rsidRPr="008A32EF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3B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СМП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ноября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3B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3B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СМП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ED5E9B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ED5E9B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ED5E9B">
        <w:rPr>
          <w:rFonts w:ascii="Times New Roman" w:hAnsi="Times New Roman" w:cs="Times New Roman"/>
          <w:sz w:val="28"/>
          <w:szCs w:val="28"/>
        </w:rPr>
        <w:t>6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ED5E9B">
        <w:rPr>
          <w:rFonts w:ascii="Times New Roman" w:hAnsi="Times New Roman" w:cs="Times New Roman"/>
          <w:sz w:val="28"/>
          <w:szCs w:val="28"/>
        </w:rPr>
        <w:t>ноября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E9B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="00ED5E9B">
        <w:rPr>
          <w:rFonts w:ascii="Times New Roman" w:hAnsi="Times New Roman" w:cs="Times New Roman"/>
          <w:sz w:val="28"/>
          <w:szCs w:val="28"/>
        </w:rPr>
        <w:t>18 ноября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8A32EF" w:rsidR="00090606">
        <w:rPr>
          <w:rFonts w:ascii="Times New Roman" w:hAnsi="Times New Roman" w:cs="Times New Roman"/>
          <w:sz w:val="28"/>
          <w:szCs w:val="28"/>
        </w:rPr>
        <w:t>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8A32EF"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5E9B">
        <w:rPr>
          <w:rFonts w:ascii="Times New Roman" w:hAnsi="Times New Roman" w:cs="Times New Roman"/>
          <w:sz w:val="28"/>
          <w:szCs w:val="28"/>
        </w:rPr>
        <w:t>1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ED5E9B">
        <w:rPr>
          <w:rFonts w:ascii="Times New Roman" w:hAnsi="Times New Roman" w:cs="Times New Roman"/>
          <w:sz w:val="28"/>
          <w:szCs w:val="28"/>
        </w:rPr>
        <w:t>одного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D5E9B">
        <w:rPr>
          <w:rFonts w:ascii="Times New Roman" w:hAnsi="Times New Roman" w:cs="Times New Roman"/>
          <w:sz w:val="28"/>
          <w:szCs w:val="28"/>
        </w:rPr>
        <w:t>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ED5E9B">
        <w:rPr>
          <w:rFonts w:ascii="Times New Roman" w:hAnsi="Times New Roman" w:cs="Times New Roman"/>
          <w:sz w:val="28"/>
          <w:szCs w:val="28"/>
        </w:rPr>
        <w:t>а</w:t>
      </w:r>
      <w:r w:rsidRPr="008A32EF" w:rsidR="008275FD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8A32EF" w:rsidR="0034699B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Pr="008A32EF" w:rsidR="0034699B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3B2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A32EF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8A32EF">
        <w:rPr>
          <w:rFonts w:ascii="Times New Roman" w:hAnsi="Times New Roman" w:cs="Times New Roman"/>
          <w:sz w:val="28"/>
          <w:szCs w:val="28"/>
        </w:rPr>
        <w:t xml:space="preserve"> с</w:t>
      </w:r>
      <w:r w:rsidR="003B23A9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8A32EF" w:rsidR="0034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A32E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8A32EF" w:rsidR="0034699B">
        <w:rPr>
          <w:rFonts w:ascii="Times New Roman" w:hAnsi="Times New Roman" w:cs="Times New Roman"/>
          <w:sz w:val="28"/>
          <w:szCs w:val="28"/>
        </w:rPr>
        <w:t>го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="009149F3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9149F3">
        <w:rPr>
          <w:color w:val="000000" w:themeColor="text1"/>
          <w:sz w:val="28"/>
          <w:szCs w:val="28"/>
          <w:lang w:eastAsia="ru-RU"/>
        </w:rPr>
        <w:t>а ООО</w:t>
      </w:r>
      <w:r w:rsidR="009149F3">
        <w:rPr>
          <w:color w:val="000000" w:themeColor="text1"/>
          <w:sz w:val="28"/>
          <w:szCs w:val="28"/>
          <w:lang w:eastAsia="ru-RU"/>
        </w:rPr>
        <w:t xml:space="preserve"> «</w:t>
      </w:r>
      <w:r w:rsidR="00886CD9">
        <w:rPr>
          <w:color w:val="000000" w:themeColor="text1"/>
          <w:sz w:val="28"/>
          <w:szCs w:val="28"/>
          <w:lang w:eastAsia="ru-RU"/>
        </w:rPr>
        <w:t>СМП</w:t>
      </w:r>
      <w:r w:rsidR="009149F3">
        <w:rPr>
          <w:color w:val="000000" w:themeColor="text1"/>
          <w:sz w:val="28"/>
          <w:szCs w:val="28"/>
          <w:lang w:eastAsia="ru-RU"/>
        </w:rPr>
        <w:t>»</w:t>
      </w:r>
      <w:r w:rsidRPr="008A32EF" w:rsidR="001F23AD">
        <w:rPr>
          <w:color w:val="000000" w:themeColor="text1"/>
          <w:sz w:val="28"/>
          <w:szCs w:val="28"/>
          <w:lang w:eastAsia="ru-RU"/>
        </w:rPr>
        <w:t xml:space="preserve"> </w:t>
      </w:r>
      <w:r w:rsidR="00886CD9">
        <w:rPr>
          <w:color w:val="000000" w:themeColor="text1"/>
          <w:sz w:val="28"/>
          <w:szCs w:val="28"/>
          <w:lang w:eastAsia="ru-RU"/>
        </w:rPr>
        <w:t>Титаренко В.Е.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9149F3">
        <w:rPr>
          <w:color w:val="000000" w:themeColor="text1"/>
          <w:sz w:val="28"/>
          <w:szCs w:val="28"/>
          <w:lang w:eastAsia="ru-RU"/>
        </w:rPr>
        <w:t>генерального директора ООО «</w:t>
      </w:r>
      <w:r w:rsidR="00886CD9">
        <w:rPr>
          <w:color w:val="000000" w:themeColor="text1"/>
          <w:sz w:val="28"/>
          <w:szCs w:val="28"/>
          <w:lang w:eastAsia="ru-RU"/>
        </w:rPr>
        <w:t>СМП</w:t>
      </w:r>
      <w:r w:rsidR="009149F3">
        <w:rPr>
          <w:color w:val="000000" w:themeColor="text1"/>
          <w:sz w:val="28"/>
          <w:szCs w:val="28"/>
          <w:lang w:eastAsia="ru-RU"/>
        </w:rPr>
        <w:t>»</w:t>
      </w:r>
      <w:r w:rsidR="000B06A5">
        <w:rPr>
          <w:color w:val="000000" w:themeColor="text1"/>
          <w:sz w:val="28"/>
          <w:szCs w:val="28"/>
          <w:lang w:eastAsia="ru-RU"/>
        </w:rPr>
        <w:t xml:space="preserve"> </w:t>
      </w:r>
      <w:r w:rsidR="00886CD9">
        <w:rPr>
          <w:color w:val="000000" w:themeColor="text1"/>
          <w:sz w:val="28"/>
          <w:szCs w:val="28"/>
          <w:lang w:eastAsia="ru-RU"/>
        </w:rPr>
        <w:t>Титаренко В.Е.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886CD9">
        <w:rPr>
          <w:rStyle w:val="nomer2"/>
          <w:sz w:val="28"/>
          <w:szCs w:val="28"/>
        </w:rPr>
        <w:t>305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886CD9">
        <w:rPr>
          <w:sz w:val="28"/>
          <w:szCs w:val="28"/>
        </w:rPr>
        <w:t>22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</w:t>
      </w:r>
      <w:r w:rsidRPr="008A32EF" w:rsidR="00886CD9">
        <w:rPr>
          <w:sz w:val="28"/>
          <w:szCs w:val="28"/>
        </w:rPr>
        <w:t>скринкопией АРМ приема ПФР,</w:t>
      </w:r>
      <w:r w:rsidR="00886CD9">
        <w:rPr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копией протокола проверки отчетности страхователя </w:t>
      </w:r>
      <w:r w:rsidR="009149F3">
        <w:rPr>
          <w:sz w:val="28"/>
          <w:szCs w:val="28"/>
        </w:rPr>
        <w:t>ООО</w:t>
      </w:r>
      <w:r w:rsidRPr="008A32EF" w:rsidR="001F23AD">
        <w:rPr>
          <w:sz w:val="28"/>
          <w:szCs w:val="28"/>
        </w:rPr>
        <w:t xml:space="preserve"> «</w:t>
      </w:r>
      <w:r w:rsidR="00886CD9">
        <w:rPr>
          <w:sz w:val="28"/>
          <w:szCs w:val="28"/>
        </w:rPr>
        <w:t>СМП</w:t>
      </w:r>
      <w:r w:rsidRPr="008A32EF" w:rsidR="001F23AD">
        <w:rPr>
          <w:sz w:val="28"/>
          <w:szCs w:val="28"/>
        </w:rPr>
        <w:t>»</w:t>
      </w:r>
      <w:r w:rsidRPr="008A32EF" w:rsidR="00C43224">
        <w:rPr>
          <w:sz w:val="28"/>
          <w:szCs w:val="28"/>
        </w:rPr>
        <w:t>, копией извещения о доставке,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9149F3" w:rsidR="00914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9149F3" w:rsidR="00914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886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СМП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 w:rsidR="008A3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6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8A32EF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8A32EF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A32EF">
        <w:rPr>
          <w:sz w:val="28"/>
          <w:szCs w:val="28"/>
        </w:rPr>
        <w:t>го</w:t>
      </w:r>
      <w:r w:rsidRPr="008A32EF">
        <w:rPr>
          <w:sz w:val="28"/>
          <w:szCs w:val="28"/>
        </w:rPr>
        <w:t xml:space="preserve"> и </w:t>
      </w:r>
      <w:r w:rsidRPr="008A32EF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886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 Монтаж Плюс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A3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6C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Титаренко </w:t>
      </w:r>
      <w:r w:rsidR="006122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В.Е.</w:t>
      </w:r>
      <w:r w:rsidRPr="008A32EF" w:rsidR="00886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1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1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12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886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86C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Титаренко В.Е.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643000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«0», КБК 392 116 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0 001 40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06A5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B23A9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12299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6CD9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49F3"/>
    <w:rsid w:val="00916CA9"/>
    <w:rsid w:val="009438F9"/>
    <w:rsid w:val="0094706C"/>
    <w:rsid w:val="00955E39"/>
    <w:rsid w:val="00955F0E"/>
    <w:rsid w:val="00977FF1"/>
    <w:rsid w:val="00982463"/>
    <w:rsid w:val="009867B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064"/>
    <w:rsid w:val="00C92D01"/>
    <w:rsid w:val="00CA1816"/>
    <w:rsid w:val="00CA260E"/>
    <w:rsid w:val="00CA57F6"/>
    <w:rsid w:val="00CD4E06"/>
    <w:rsid w:val="00CD4EA3"/>
    <w:rsid w:val="00CF0D4C"/>
    <w:rsid w:val="00CF4F48"/>
    <w:rsid w:val="00D06A1F"/>
    <w:rsid w:val="00D15C8C"/>
    <w:rsid w:val="00D16122"/>
    <w:rsid w:val="00D168E0"/>
    <w:rsid w:val="00D3231F"/>
    <w:rsid w:val="00D36B8B"/>
    <w:rsid w:val="00D55182"/>
    <w:rsid w:val="00D55C36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5E9B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F562-C184-44F1-9D59-FDC3A4C9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