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2558E">
      <w:pPr>
        <w:jc w:val="right"/>
      </w:pPr>
      <w:r>
        <w:rPr>
          <w:sz w:val="28"/>
        </w:rPr>
        <w:t xml:space="preserve">Дело № 5-72-26/2020 </w:t>
      </w:r>
    </w:p>
    <w:p w:rsidR="00C2558E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C2558E">
      <w:pPr>
        <w:ind w:firstLine="708"/>
      </w:pPr>
      <w:r>
        <w:rPr>
          <w:sz w:val="28"/>
        </w:rPr>
        <w:t xml:space="preserve">04 февраля 2020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2558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Стокозуб</w:t>
      </w:r>
      <w:r>
        <w:rPr>
          <w:sz w:val="28"/>
        </w:rPr>
        <w:t xml:space="preserve"> В.М., рассмотрев в открытом судебном заседании дело об административном правонарушение, поступившее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2558E">
      <w:pPr>
        <w:ind w:left="4248"/>
        <w:jc w:val="both"/>
      </w:pPr>
      <w:r>
        <w:rPr>
          <w:b/>
          <w:sz w:val="28"/>
        </w:rPr>
        <w:t>Стокозуб</w:t>
      </w:r>
      <w:r>
        <w:rPr>
          <w:b/>
          <w:sz w:val="28"/>
        </w:rPr>
        <w:t xml:space="preserve"> Виктора</w:t>
      </w:r>
      <w:r>
        <w:rPr>
          <w:b/>
          <w:sz w:val="28"/>
        </w:rPr>
        <w:t xml:space="preserve"> Михайловича,</w:t>
      </w:r>
      <w:r>
        <w:rPr>
          <w:sz w:val="28"/>
        </w:rPr>
        <w:t xml:space="preserve"> паспортные данные, гражданина Российской Федерации, имеющего неполное среднее образование, холостого, несовершеннолетних детей не </w:t>
      </w:r>
      <w:r>
        <w:rPr>
          <w:sz w:val="28"/>
        </w:rPr>
        <w:t>имеющего</w:t>
      </w:r>
      <w:r>
        <w:rPr>
          <w:sz w:val="28"/>
        </w:rPr>
        <w:t>,о</w:t>
      </w:r>
      <w:r>
        <w:rPr>
          <w:sz w:val="28"/>
        </w:rPr>
        <w:t>фициально</w:t>
      </w:r>
      <w:r>
        <w:rPr>
          <w:sz w:val="28"/>
        </w:rPr>
        <w:t xml:space="preserve"> нетрудоустроенного, являющегося пенсионером, ранее не привлекаемого к административной ответ</w:t>
      </w:r>
      <w:r>
        <w:rPr>
          <w:sz w:val="28"/>
        </w:rPr>
        <w:t xml:space="preserve">ственности, зарегистрированного и проживающего по адресу: адрес, </w:t>
      </w:r>
    </w:p>
    <w:p w:rsidR="00C2558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2 ст. 12.2 Кодекса Российской Федерации об административных правонарушениях, </w:t>
      </w:r>
    </w:p>
    <w:p w:rsidR="00C2558E" w:rsidP="001D122E">
      <w:pPr>
        <w:jc w:val="center"/>
      </w:pPr>
      <w:r>
        <w:rPr>
          <w:b/>
          <w:sz w:val="28"/>
        </w:rPr>
        <w:t>УСТАНОВИЛ:</w:t>
      </w:r>
    </w:p>
    <w:p w:rsidR="00C2558E">
      <w:pPr>
        <w:ind w:firstLine="708"/>
        <w:jc w:val="both"/>
      </w:pPr>
      <w:r>
        <w:rPr>
          <w:sz w:val="28"/>
        </w:rPr>
        <w:t>Согласно п</w:t>
      </w:r>
      <w:r>
        <w:rPr>
          <w:sz w:val="28"/>
        </w:rPr>
        <w:t xml:space="preserve">ротокола об административном правонарушении 82 АП № 066019 от дата </w:t>
      </w:r>
      <w:r>
        <w:rPr>
          <w:sz w:val="28"/>
        </w:rPr>
        <w:t>Стокозуб</w:t>
      </w:r>
      <w:r>
        <w:rPr>
          <w:sz w:val="28"/>
        </w:rPr>
        <w:t xml:space="preserve"> В.М.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автомобилем марки – марка автомобиля, принадлежащим </w:t>
      </w:r>
      <w:r>
        <w:rPr>
          <w:sz w:val="28"/>
        </w:rPr>
        <w:t>фио</w:t>
      </w:r>
      <w:r>
        <w:rPr>
          <w:sz w:val="28"/>
        </w:rPr>
        <w:t>, без заднего государственного регистрационного знака, чем нарушил</w:t>
      </w:r>
      <w:r>
        <w:rPr>
          <w:sz w:val="28"/>
        </w:rPr>
        <w:t xml:space="preserve"> п. 2 Основных положений Правил дорожного движения РФ, ответственность за которое предусмотрена ст. 12.2 ч. 2 Кодекса Российской Федерации об административных правонарушениях.</w:t>
      </w:r>
    </w:p>
    <w:p w:rsidR="00C2558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Стокозуб</w:t>
      </w:r>
      <w:r>
        <w:rPr>
          <w:sz w:val="28"/>
        </w:rPr>
        <w:t xml:space="preserve"> В.М. вину в совершении административного правонару</w:t>
      </w:r>
      <w:r>
        <w:rPr>
          <w:sz w:val="28"/>
        </w:rPr>
        <w:t>шения признал, пояснил, что действительно управлял транспортным средством без заднего государственного регистрационного знака, не имел умысла на совершение правонарушения.</w:t>
      </w:r>
    </w:p>
    <w:p w:rsidR="00C2558E">
      <w:pPr>
        <w:jc w:val="both"/>
      </w:pPr>
      <w:r>
        <w:rPr>
          <w:sz w:val="28"/>
        </w:rPr>
        <w:t xml:space="preserve">Суд, выслушав </w:t>
      </w:r>
      <w:r>
        <w:rPr>
          <w:sz w:val="28"/>
        </w:rPr>
        <w:t>Стокозуб</w:t>
      </w:r>
      <w:r>
        <w:rPr>
          <w:sz w:val="28"/>
        </w:rPr>
        <w:t xml:space="preserve"> В.М., исследовав письменные материалы дела об административно</w:t>
      </w:r>
      <w:r>
        <w:rPr>
          <w:sz w:val="28"/>
        </w:rPr>
        <w:t xml:space="preserve">м правонарушении, пришел к выводу о наличии в действиях </w:t>
      </w:r>
      <w:r>
        <w:rPr>
          <w:sz w:val="28"/>
        </w:rPr>
        <w:t>Стокозуб</w:t>
      </w:r>
      <w:r>
        <w:rPr>
          <w:sz w:val="28"/>
        </w:rPr>
        <w:t xml:space="preserve"> В.М.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2558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</w:t>
      </w:r>
      <w:r>
        <w:rPr>
          <w:sz w:val="28"/>
        </w:rPr>
        <w:t xml:space="preserve">т быть подвергнуто административному 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на основаниях и в порядке, установленных законом.</w:t>
      </w:r>
    </w:p>
    <w:p w:rsidR="00C2558E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</w:t>
      </w:r>
      <w:r>
        <w:rPr>
          <w:sz w:val="28"/>
        </w:rPr>
        <w:t>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C2558E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ч. 1 ст. </w:t>
      </w:r>
      <w:r>
        <w:rPr>
          <w:sz w:val="28"/>
        </w:rPr>
        <w:t xml:space="preserve">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rPr>
          <w:sz w:val="28"/>
        </w:rP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</w:t>
      </w:r>
      <w:r>
        <w:rPr>
          <w:sz w:val="28"/>
        </w:rPr>
        <w:t>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</w:t>
      </w:r>
      <w:r>
        <w:rPr>
          <w:sz w:val="28"/>
        </w:rPr>
        <w:t xml:space="preserve"> технических средств, вещественными доказательствами.</w:t>
      </w:r>
    </w:p>
    <w:p w:rsidR="00C2558E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</w:t>
      </w:r>
      <w:r>
        <w:rPr>
          <w:sz w:val="28"/>
        </w:rPr>
        <w:t>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C2558E">
      <w:pPr>
        <w:widowControl w:val="0"/>
        <w:spacing w:line="322" w:lineRule="atLeast"/>
        <w:ind w:firstLine="760"/>
        <w:jc w:val="both"/>
      </w:pPr>
      <w:r>
        <w:rPr>
          <w:sz w:val="28"/>
        </w:rPr>
        <w:t>Согласно п. 2 (Общие обязанности водителя) ПДД РФ 2.2 Водитель механического транспортного средства, участвующий в межд</w:t>
      </w:r>
      <w:r>
        <w:rPr>
          <w:sz w:val="28"/>
        </w:rPr>
        <w:t>ународном дорожном движении, обязан:</w:t>
      </w:r>
    </w:p>
    <w:p w:rsidR="00C2558E">
      <w:pPr>
        <w:widowControl w:val="0"/>
        <w:spacing w:line="322" w:lineRule="atLeast"/>
        <w:ind w:firstLine="760"/>
        <w:jc w:val="both"/>
      </w:pPr>
      <w:r>
        <w:rPr>
          <w:sz w:val="28"/>
        </w:rPr>
        <w:t>- иметь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прицепа - и на прицеп) и водительское удостоверение, соответствующие</w:t>
      </w:r>
      <w:r>
        <w:rPr>
          <w:sz w:val="28"/>
        </w:rPr>
        <w:t xml:space="preserve"> </w:t>
      </w:r>
      <w:hyperlink r:id="rId4" w:anchor="dst100846" w:history="1">
        <w:r>
          <w:rPr>
            <w:color w:val="0000FF"/>
            <w:sz w:val="28"/>
            <w:u w:val="single"/>
          </w:rPr>
          <w:t>Конвенции</w:t>
        </w:r>
      </w:hyperlink>
      <w:r>
        <w:rPr>
          <w:sz w:val="28"/>
        </w:rPr>
        <w:t xml:space="preserve"> о дорожном движении, а также документы, предусмотренные таможенным законодательством Евразийского экономического союза, с отметками таможенных органов, подтвер</w:t>
      </w:r>
      <w:r>
        <w:rPr>
          <w:sz w:val="28"/>
        </w:rPr>
        <w:t>ждающими временный ввоз данного транспортного средства (при наличии прицепа - и прицепа)</w:t>
      </w:r>
      <w:r>
        <w:rPr>
          <w:sz w:val="28"/>
        </w:rPr>
        <w:t>;</w:t>
      </w:r>
    </w:p>
    <w:p w:rsidR="00C2558E">
      <w:pPr>
        <w:widowControl w:val="0"/>
        <w:spacing w:line="322" w:lineRule="atLeast"/>
        <w:ind w:firstLine="760"/>
        <w:jc w:val="both"/>
      </w:pPr>
      <w:r>
        <w:rPr>
          <w:sz w:val="28"/>
        </w:rPr>
        <w:t>- иметь на данном транспортном средстве (при наличии прицепа - и на прицепе) регистрационные и отличительные знаки государства, в котором оно зарегистрировано. Отличи</w:t>
      </w:r>
      <w:r>
        <w:rPr>
          <w:sz w:val="28"/>
        </w:rPr>
        <w:t>тельные знаки государства могут помещаться на регистрационных знаках.</w:t>
      </w:r>
    </w:p>
    <w:p w:rsidR="00C2558E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2 статьи 12.2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 xml:space="preserve">рации об административных правонарушениях управление транспортным средством без </w:t>
      </w:r>
      <w:r>
        <w:rPr>
          <w:sz w:val="28"/>
        </w:rPr>
        <w:t>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</w:t>
      </w:r>
      <w:r>
        <w:rPr>
          <w:sz w:val="28"/>
        </w:rPr>
        <w:t xml:space="preserve">ибо управление транспортным средством с государственными регистрационными знаками, </w:t>
      </w:r>
      <w:hyperlink r:id="rId6" w:anchor="dst100027" w:history="1">
        <w:r>
          <w:rPr>
            <w:color w:val="0000FF"/>
            <w:sz w:val="28"/>
            <w:u w:val="single"/>
          </w:rPr>
          <w:t>видоизмененными</w:t>
        </w:r>
      </w:hyperlink>
      <w:r>
        <w:rPr>
          <w:sz w:val="28"/>
        </w:rPr>
        <w:t xml:space="preserve"> или оборудованными с применени</w:t>
      </w:r>
      <w:r>
        <w:rPr>
          <w:sz w:val="28"/>
        </w:rPr>
        <w:t xml:space="preserve">ем </w:t>
      </w:r>
      <w:hyperlink r:id="rId6" w:anchor="dst100028" w:history="1">
        <w:r>
          <w:rPr>
            <w:color w:val="0000FF"/>
            <w:sz w:val="28"/>
            <w:u w:val="single"/>
          </w:rPr>
          <w:t>устройств или материалов</w:t>
        </w:r>
      </w:hyperlink>
      <w:r>
        <w:rPr>
          <w:sz w:val="28"/>
        </w:rPr>
        <w:t>, препятствующих идентификации государственных регистрационных знаков либо позволяющих их видоизменить</w:t>
      </w:r>
      <w:r>
        <w:rPr>
          <w:sz w:val="28"/>
        </w:rPr>
        <w:t xml:space="preserve"> или скрыть, </w:t>
      </w:r>
      <w:r>
        <w:rPr>
          <w:sz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C2558E">
      <w:pPr>
        <w:spacing w:line="280" w:lineRule="atLeast"/>
        <w:ind w:firstLine="708"/>
        <w:jc w:val="both"/>
      </w:pPr>
      <w:r>
        <w:rPr>
          <w:sz w:val="28"/>
        </w:rPr>
        <w:t xml:space="preserve">В соответствии с </w:t>
      </w:r>
      <w:hyperlink r:id="rId7" w:history="1">
        <w:r>
          <w:rPr>
            <w:color w:val="0000FF"/>
            <w:sz w:val="28"/>
            <w:u w:val="single"/>
          </w:rPr>
          <w:t>п. 2.3.1</w:t>
        </w:r>
      </w:hyperlink>
      <w:r>
        <w:rPr>
          <w:sz w:val="28"/>
        </w:rPr>
        <w:t xml:space="preserve"> Правил дорожного движения РФ, утвержденных постановлением Совета Министров - Правительства Российской Федерации от дата N 1090 (далее ПДД РФ) водитель транспортного средства обязан пе</w:t>
      </w:r>
      <w:r>
        <w:rPr>
          <w:sz w:val="28"/>
        </w:rPr>
        <w:t>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</w:t>
      </w:r>
      <w:r>
        <w:rPr>
          <w:sz w:val="28"/>
        </w:rPr>
        <w:t>жения.</w:t>
      </w:r>
    </w:p>
    <w:p w:rsidR="00C2558E">
      <w:pPr>
        <w:spacing w:line="280" w:lineRule="atLeast"/>
        <w:ind w:firstLine="708"/>
        <w:jc w:val="both"/>
      </w:pPr>
      <w:hyperlink r:id="rId8" w:history="1">
        <w:r w:rsidR="001D122E">
          <w:rPr>
            <w:color w:val="0000FF"/>
            <w:sz w:val="28"/>
            <w:u w:val="single"/>
          </w:rPr>
          <w:t>Пунктом 2</w:t>
        </w:r>
      </w:hyperlink>
      <w:r w:rsidR="001D122E">
        <w:rPr>
          <w:sz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дата N 1090 (далее - Основные положения), уст</w:t>
      </w:r>
      <w:r w:rsidR="001D122E">
        <w:rPr>
          <w:sz w:val="28"/>
        </w:rPr>
        <w:t>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2558E">
      <w:pPr>
        <w:spacing w:line="280" w:lineRule="atLeast"/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Стокозуб</w:t>
      </w:r>
      <w:r>
        <w:rPr>
          <w:sz w:val="28"/>
        </w:rPr>
        <w:t xml:space="preserve"> В.М.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автомобилем марки – марка автомобиля, принадлежащим </w:t>
      </w:r>
      <w:r>
        <w:rPr>
          <w:sz w:val="28"/>
        </w:rPr>
        <w:t>фио</w:t>
      </w:r>
      <w:r>
        <w:rPr>
          <w:sz w:val="28"/>
        </w:rPr>
        <w:t>, без заднего государственного регистрационного знака, чем нарушил п. 2 Основных положений Правил дорожного движения РФ, ответственность за которое преду</w:t>
      </w:r>
      <w:r>
        <w:rPr>
          <w:sz w:val="28"/>
        </w:rPr>
        <w:t>смотрена ст. 12.2 ч. 2 Кодекса Российской Федерации об административных правонарушениях</w:t>
      </w:r>
    </w:p>
    <w:p w:rsidR="00C2558E">
      <w:pPr>
        <w:spacing w:line="280" w:lineRule="atLeast"/>
        <w:ind w:firstLine="708"/>
        <w:jc w:val="both"/>
      </w:pPr>
      <w:r>
        <w:rPr>
          <w:sz w:val="28"/>
        </w:rPr>
        <w:t xml:space="preserve">Фактические обстоятельства дела подтверждаются собранными по делу доказательствами: </w:t>
      </w:r>
    </w:p>
    <w:p w:rsidR="00C2558E">
      <w:pPr>
        <w:spacing w:line="280" w:lineRule="atLeast"/>
        <w:ind w:firstLine="540"/>
        <w:jc w:val="both"/>
      </w:pPr>
      <w:r>
        <w:rPr>
          <w:sz w:val="28"/>
        </w:rPr>
        <w:t xml:space="preserve">- протоколом об административном правонарушении 82 АП № 066019 </w:t>
      </w:r>
      <w:r>
        <w:rPr>
          <w:sz w:val="28"/>
        </w:rPr>
        <w:t>от</w:t>
      </w:r>
      <w:r>
        <w:rPr>
          <w:sz w:val="28"/>
        </w:rPr>
        <w:t xml:space="preserve"> дата (л.д. 1); </w:t>
      </w:r>
    </w:p>
    <w:p w:rsidR="00C2558E">
      <w:pPr>
        <w:spacing w:line="280" w:lineRule="atLeast"/>
        <w:ind w:firstLine="540"/>
        <w:jc w:val="both"/>
      </w:pPr>
      <w:r>
        <w:rPr>
          <w:sz w:val="28"/>
        </w:rPr>
        <w:t>- фотоматериалом (</w:t>
      </w:r>
      <w:r>
        <w:rPr>
          <w:sz w:val="28"/>
        </w:rPr>
        <w:t>л</w:t>
      </w:r>
      <w:r>
        <w:rPr>
          <w:sz w:val="28"/>
        </w:rPr>
        <w:t>.д. 2).</w:t>
      </w:r>
    </w:p>
    <w:p w:rsidR="00C2558E">
      <w:pPr>
        <w:spacing w:line="280" w:lineRule="atLeast"/>
        <w:ind w:firstLine="540"/>
        <w:jc w:val="both"/>
      </w:pPr>
      <w:r>
        <w:rPr>
          <w:sz w:val="28"/>
        </w:rPr>
        <w:t xml:space="preserve">Как усматривается из материалов дела, а именно: из карточки операции с ВУ, </w:t>
      </w:r>
      <w:r>
        <w:rPr>
          <w:sz w:val="28"/>
        </w:rPr>
        <w:t>Стокозуб</w:t>
      </w:r>
      <w:r>
        <w:rPr>
          <w:sz w:val="28"/>
        </w:rPr>
        <w:t xml:space="preserve"> В.М. в установленном законом порядке получал специальное право управления транспортными средствами и ему выдано водительское удостоверение телефо</w:t>
      </w:r>
      <w:r>
        <w:rPr>
          <w:sz w:val="28"/>
        </w:rPr>
        <w:t xml:space="preserve">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С, С1, D, D1» (л.д. 8)</w:t>
      </w:r>
    </w:p>
    <w:p w:rsidR="00C2558E">
      <w:pPr>
        <w:spacing w:line="280" w:lineRule="atLeast"/>
        <w:ind w:firstLine="708"/>
        <w:jc w:val="both"/>
      </w:pPr>
      <w:r>
        <w:rPr>
          <w:sz w:val="28"/>
        </w:rPr>
        <w:t>У суда не имеется оснований ставить под сомнение указанные документы, в связи с чем, признает их относимыми и допустимыми доказательствами.</w:t>
      </w:r>
    </w:p>
    <w:p w:rsidR="00C2558E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действия </w:t>
      </w:r>
      <w:r>
        <w:rPr>
          <w:sz w:val="28"/>
        </w:rPr>
        <w:t>Стокозуб</w:t>
      </w:r>
      <w:r>
        <w:rPr>
          <w:sz w:val="28"/>
        </w:rPr>
        <w:t xml:space="preserve"> В.М. образуют объективную сторону со</w:t>
      </w:r>
      <w:r>
        <w:rPr>
          <w:sz w:val="28"/>
        </w:rPr>
        <w:t xml:space="preserve">става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2 статьи 12.2</w:t>
        </w:r>
      </w:hyperlink>
      <w:r>
        <w:rPr>
          <w:sz w:val="28"/>
        </w:rPr>
        <w:t xml:space="preserve"> Кодекса Российской Федерации об административных прав</w:t>
      </w:r>
      <w:r>
        <w:rPr>
          <w:sz w:val="28"/>
        </w:rPr>
        <w:t xml:space="preserve">онарушениях. </w:t>
      </w:r>
    </w:p>
    <w:p w:rsidR="00C2558E">
      <w:pPr>
        <w:spacing w:line="280" w:lineRule="atLeast"/>
        <w:ind w:firstLine="708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9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пришел к обоснованному выводу о виновности </w:t>
      </w:r>
      <w:r>
        <w:rPr>
          <w:sz w:val="28"/>
        </w:rPr>
        <w:t>Стокозуб</w:t>
      </w:r>
      <w:r>
        <w:rPr>
          <w:sz w:val="28"/>
        </w:rPr>
        <w:t xml:space="preserve"> В.М. в совершении административного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ч. 2 ст. 12.2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поскольку </w:t>
      </w:r>
      <w:r>
        <w:rPr>
          <w:sz w:val="28"/>
        </w:rPr>
        <w:t>Стокозуб</w:t>
      </w:r>
      <w:r>
        <w:rPr>
          <w:sz w:val="28"/>
        </w:rPr>
        <w:t xml:space="preserve"> В.М. управлял транспортным средством автомобилем марки – марка автомобиля, принадлежащим </w:t>
      </w:r>
      <w:r>
        <w:rPr>
          <w:sz w:val="28"/>
        </w:rPr>
        <w:t>фио</w:t>
      </w:r>
      <w:r>
        <w:rPr>
          <w:sz w:val="28"/>
        </w:rPr>
        <w:t>, без заднего государственного регистрационного знака.</w:t>
      </w:r>
    </w:p>
    <w:p w:rsidR="00C2558E">
      <w:pPr>
        <w:ind w:firstLine="708"/>
        <w:jc w:val="both"/>
      </w:pPr>
      <w:r>
        <w:rPr>
          <w:sz w:val="28"/>
        </w:rPr>
        <w:t xml:space="preserve">Требования нормы ч. 2 ст. 12.2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 xml:space="preserve">Ф,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Стокозуб</w:t>
      </w:r>
      <w:r>
        <w:rPr>
          <w:sz w:val="28"/>
        </w:rPr>
        <w:t xml:space="preserve"> В.М. не соблюдены.</w:t>
      </w:r>
    </w:p>
    <w:p w:rsidR="00C2558E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C2558E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Стокозуб</w:t>
      </w:r>
      <w:r>
        <w:rPr>
          <w:sz w:val="28"/>
        </w:rPr>
        <w:t xml:space="preserve"> В.М. имеется состав правонарушен</w:t>
      </w:r>
      <w:r>
        <w:rPr>
          <w:sz w:val="28"/>
        </w:rPr>
        <w:t xml:space="preserve">ия, предусмотренного ч. 2 ст. 12.2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</w:t>
      </w:r>
      <w:r>
        <w:rPr>
          <w:sz w:val="28"/>
        </w:rPr>
        <w:t>ных знаков либо управление транспортным средством с государственными регистрационными знаками, видоизмененными или</w:t>
      </w:r>
      <w:r>
        <w:rPr>
          <w:sz w:val="28"/>
        </w:rPr>
        <w:t xml:space="preserve"> </w:t>
      </w:r>
      <w:r>
        <w:rPr>
          <w:sz w:val="28"/>
        </w:rPr>
        <w:t>оборудованными</w:t>
      </w:r>
      <w:r>
        <w:rPr>
          <w:sz w:val="28"/>
        </w:rPr>
        <w:t xml:space="preserve"> с применением устройств или материалов, препятствующих идентификации государственных регистрационных знаков либо позволяющих и</w:t>
      </w:r>
      <w:r>
        <w:rPr>
          <w:sz w:val="28"/>
        </w:rPr>
        <w:t>х видоизменить или скрыть.</w:t>
      </w:r>
    </w:p>
    <w:p w:rsidR="00C2558E">
      <w:pPr>
        <w:ind w:firstLine="708"/>
        <w:jc w:val="both"/>
      </w:pPr>
      <w:r>
        <w:rPr>
          <w:sz w:val="28"/>
        </w:rPr>
        <w:t xml:space="preserve">Оценивая собранные по делу доказательства в совокупности, мировой судья считает их достоверными, а вину </w:t>
      </w:r>
      <w:r>
        <w:rPr>
          <w:sz w:val="28"/>
        </w:rPr>
        <w:t>Стокозуб</w:t>
      </w:r>
      <w:r>
        <w:rPr>
          <w:sz w:val="28"/>
        </w:rPr>
        <w:t xml:space="preserve"> В.М. с достаточной полнотой нашедшей свое подтверждение в ходе судебного разбирательства. У суда не имеется основани</w:t>
      </w:r>
      <w:r>
        <w:rPr>
          <w:sz w:val="28"/>
        </w:rPr>
        <w:t>й не доверять информации, содержащейся в вышеуказанных документах.</w:t>
      </w:r>
    </w:p>
    <w:p w:rsidR="00C2558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8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2558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</w:t>
      </w:r>
      <w:r>
        <w:rPr>
          <w:sz w:val="28"/>
        </w:rPr>
        <w:t>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>
        <w:rPr>
          <w:sz w:val="28"/>
        </w:rPr>
        <w:t xml:space="preserve">ющие административную ответственность. </w:t>
      </w:r>
    </w:p>
    <w:p w:rsidR="00C2558E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</w:t>
      </w:r>
      <w:r>
        <w:rPr>
          <w:sz w:val="28"/>
        </w:rPr>
        <w:t>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</w:t>
      </w:r>
      <w:r>
        <w:rPr>
          <w:sz w:val="28"/>
        </w:rPr>
        <w:t>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2558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8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8"/>
        </w:rPr>
        <w:t xml:space="preserve">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Стокозуб</w:t>
      </w:r>
      <w:r>
        <w:rPr>
          <w:sz w:val="28"/>
        </w:rPr>
        <w:t xml:space="preserve"> В.М. своей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</w:t>
      </w:r>
      <w:r>
        <w:rPr>
          <w:sz w:val="28"/>
        </w:rPr>
        <w:t xml:space="preserve">ю ответственность, учитывая данные о личности </w:t>
      </w:r>
      <w:r>
        <w:rPr>
          <w:sz w:val="28"/>
        </w:rPr>
        <w:t>Стокозуб</w:t>
      </w:r>
      <w:r>
        <w:rPr>
          <w:sz w:val="28"/>
        </w:rPr>
        <w:t xml:space="preserve"> В.М., ранее не привлекаемого к административной ответственности в области дорожного движения, учитывая имущественное положение лица, привлекаемого к административной ответственности, мировой судья приш</w:t>
      </w:r>
      <w:r>
        <w:rPr>
          <w:sz w:val="28"/>
        </w:rPr>
        <w:t>ел к выводу о возможности назначения наказания в виде административного</w:t>
      </w:r>
      <w:r>
        <w:rPr>
          <w:sz w:val="28"/>
        </w:rPr>
        <w:t xml:space="preserve"> штрафа, считая данное наказание достаточным для предупреждения совершения новых правонарушений. </w:t>
      </w:r>
    </w:p>
    <w:p w:rsidR="00C2558E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</w:t>
      </w:r>
      <w:hyperlink r:id="rId11" w:anchor="/document/12125267/entry/12204" w:history="1">
        <w:r>
          <w:rPr>
            <w:color w:val="0000FF"/>
            <w:sz w:val="28"/>
            <w:u w:val="single"/>
          </w:rPr>
          <w:t>ст.ст.12.2 ч.4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hyperlink r:id="rId11" w:anchor="/document/12125267/entry/41" w:history="1">
        <w:r>
          <w:rPr>
            <w:color w:val="0000FF"/>
            <w:sz w:val="28"/>
            <w:u w:val="single"/>
          </w:rPr>
          <w:t>ст.ст. 4.1-4.3</w:t>
        </w:r>
      </w:hyperlink>
      <w:r>
        <w:rPr>
          <w:sz w:val="28"/>
        </w:rPr>
        <w:t xml:space="preserve">, </w:t>
      </w:r>
      <w:hyperlink r:id="rId11" w:anchor="/document/12125267/entry/299" w:history="1">
        <w:r>
          <w:rPr>
            <w:color w:val="0000FF"/>
            <w:sz w:val="28"/>
            <w:u w:val="single"/>
          </w:rPr>
          <w:t>29.9- 29.11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C2558E" w:rsidP="001D122E">
      <w:pPr>
        <w:jc w:val="center"/>
      </w:pPr>
      <w:r>
        <w:rPr>
          <w:b/>
          <w:sz w:val="28"/>
        </w:rPr>
        <w:t>ПОСТАНОВИЛ:</w:t>
      </w:r>
    </w:p>
    <w:p w:rsidR="00C2558E">
      <w:pPr>
        <w:ind w:firstLine="708"/>
        <w:jc w:val="both"/>
      </w:pPr>
      <w:r>
        <w:rPr>
          <w:b/>
          <w:sz w:val="28"/>
        </w:rPr>
        <w:t>Стокозуб</w:t>
      </w:r>
      <w:r>
        <w:rPr>
          <w:b/>
          <w:sz w:val="28"/>
        </w:rPr>
        <w:t xml:space="preserve"> Виктора Михайловича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 Кодекса Российской Федерации об административных правонарушениях и назначить ему административное наказание в виде адм</w:t>
      </w:r>
      <w:r>
        <w:rPr>
          <w:sz w:val="28"/>
        </w:rPr>
        <w:t>инистративного штрафа в размере 5 000 (пять тысяч) рублей.</w:t>
      </w:r>
    </w:p>
    <w:p w:rsidR="00C2558E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</w:t>
      </w:r>
      <w:r>
        <w:rPr>
          <w:sz w:val="28"/>
        </w:rPr>
        <w:t xml:space="preserve">е Крым ЮГУ Центрального наименование организации, КБК 18811601121010001 140, </w:t>
      </w:r>
      <w:r>
        <w:rPr>
          <w:sz w:val="28"/>
        </w:rPr>
        <w:t>БИК телефон, ОКТМО телефон, УИН 18810491202600000309, назначение платежа – административный штраф.</w:t>
      </w:r>
    </w:p>
    <w:p w:rsidR="00C2558E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</w:t>
      </w:r>
      <w:r>
        <w:rPr>
          <w:sz w:val="28"/>
        </w:rPr>
        <w:t xml:space="preserve">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C2558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</w:t>
      </w:r>
      <w:r>
        <w:rPr>
          <w:sz w:val="2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558E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админист</w:t>
      </w:r>
      <w:r>
        <w:rPr>
          <w:sz w:val="28"/>
        </w:rPr>
        <w:t xml:space="preserve">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</w:t>
      </w:r>
      <w:r>
        <w:rPr>
          <w:sz w:val="28"/>
        </w:rPr>
        <w:t xml:space="preserve">ключением административных правонарушений, предусмотренных </w:t>
      </w:r>
      <w:hyperlink r:id="rId13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6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2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</w:t>
      </w:r>
      <w:r>
        <w:rPr>
          <w:sz w:val="28"/>
        </w:rPr>
        <w:t xml:space="preserve">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если исполнение постановления о на</w:t>
      </w:r>
      <w:r>
        <w:rPr>
          <w:sz w:val="28"/>
        </w:rPr>
        <w:t>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558E">
      <w:pPr>
        <w:widowControl w:val="0"/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C2558E">
      <w:pPr>
        <w:widowControl w:val="0"/>
        <w:ind w:firstLine="426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</w:t>
      </w:r>
      <w:r>
        <w:rPr>
          <w:sz w:val="28"/>
        </w:rPr>
        <w:t xml:space="preserve">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D122E">
      <w:pPr>
        <w:widowControl w:val="0"/>
        <w:ind w:firstLine="426"/>
        <w:jc w:val="both"/>
      </w:pPr>
    </w:p>
    <w:p w:rsidR="00C2558E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2558E">
      <w:pPr>
        <w:widowControl w:val="0"/>
        <w:ind w:firstLine="708"/>
        <w:jc w:val="both"/>
      </w:pPr>
    </w:p>
    <w:sectPr w:rsidSect="00C255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2558E"/>
    <w:rsid w:val="001D122E"/>
    <w:rsid w:val="00C25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2EED64918E68C021C6197DC37CA833B897C57C4EBF8D286C326AA94C5C3822D53F808081B24M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consultantplus://offline/ref=B9C31764FF27CA51C66053492A8434EFB9F4216FB231DFC7D96EC7681EE8A838CA6ED2C0F1C52238Z9NEN" TargetMode="External" /><Relationship Id="rId13" Type="http://schemas.openxmlformats.org/officeDocument/2006/relationships/hyperlink" Target="consultantplus://offline/ref=B9C31764FF27CA51C66053492A8434EFB9F4216FB231DFC7D96EC7681EE8A838CA6ED2C5F3C0Z2NEN" TargetMode="External" /><Relationship Id="rId14" Type="http://schemas.openxmlformats.org/officeDocument/2006/relationships/hyperlink" Target="consultantplus://offline/ref=B9C31764FF27CA51C66053492A8434EFB9F4216FB231DFC7D96EC7681EE8A838CA6ED2C5F3C2Z2NBN" TargetMode="External" /><Relationship Id="rId15" Type="http://schemas.openxmlformats.org/officeDocument/2006/relationships/hyperlink" Target="consultantplus://offline/ref=B9C31764FF27CA51C66053492A8434EFB9F4216FB231DFC7D96EC7681EE8A838CA6ED2C5F3CDZ2NEN" TargetMode="External" /><Relationship Id="rId16" Type="http://schemas.openxmlformats.org/officeDocument/2006/relationships/hyperlink" Target="consultantplus://offline/ref=B9C31764FF27CA51C66053492A8434EFB9F4216FB231DFC7D96EC7681EE8A838CA6ED2C5F3CDZ2NCN" TargetMode="External" /><Relationship Id="rId17" Type="http://schemas.openxmlformats.org/officeDocument/2006/relationships/hyperlink" Target="consultantplus://offline/ref=B9C31764FF27CA51C66053492A8434EFB9F4216FB231DFC7D96EC7681EE8A838CA6ED2C5F3CCZ2NFN" TargetMode="External" /><Relationship Id="rId18" Type="http://schemas.openxmlformats.org/officeDocument/2006/relationships/hyperlink" Target="consultantplus://offline/ref=B9C31764FF27CA51C66053492A8434EFB9F4216FB231DFC7D96EC7681EE8A838CA6ED2C2F9C6Z2N2N" TargetMode="External" /><Relationship Id="rId19" Type="http://schemas.openxmlformats.org/officeDocument/2006/relationships/hyperlink" Target="consultantplus://offline/ref=B9C31764FF27CA51C66053492A8434EFB9F4216FB231DFC7D96EC7681EE8A838CA6ED2C2F9C1Z2N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4F1ZCN5N" TargetMode="External" /><Relationship Id="rId21" Type="http://schemas.openxmlformats.org/officeDocument/2006/relationships/hyperlink" Target="consultantplus://offline/ref=B9C31764FF27CA51C66053492A8434EFB9F4216FB231DFC7D96EC7681EE8A838CA6ED2C5F2C4Z2N2N" TargetMode="External" /><Relationship Id="rId22" Type="http://schemas.openxmlformats.org/officeDocument/2006/relationships/hyperlink" Target="consultantplus://offline/ref=B9C31764FF27CA51C66053492A8434EFB9F4216FB231DFC7D96EC7681EE8A838CA6ED2C3F4C6Z2NDN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36493/" TargetMode="External" /><Relationship Id="rId5" Type="http://schemas.openxmlformats.org/officeDocument/2006/relationships/hyperlink" Target="consultantplus://offline/ref=CE89CD764D9B217FEBC38F0790EA848D70403AFCEADAC251BEEA9DF2BA29CC79E10693C178u5wAM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consultantplus://offline/ref=CE89CD764D9B217FEBC38F0790EA848D70403EF8E6D9C251BEEA9DF2BA29CC79E10693C6715362CEu9wDM" TargetMode="External" /><Relationship Id="rId8" Type="http://schemas.openxmlformats.org/officeDocument/2006/relationships/hyperlink" Target="consultantplus://offline/ref=CE89CD764D9B217FEBC38F0790EA848D70403EF8E6D9C251BEEA9DF2BA29CC79E10693C579u5w1M" TargetMode="External" /><Relationship Id="rId9" Type="http://schemas.openxmlformats.org/officeDocument/2006/relationships/hyperlink" Target="consultantplus://offline/ref=2BF2EED64918E68C021C6197DC37CA833B897C57C4EBF8D286C326AA94C5C3822D53F80F01BFD03C1C2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