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3085">
      <w:pPr>
        <w:spacing w:line="280" w:lineRule="atLeast"/>
        <w:ind w:firstLine="709"/>
        <w:jc w:val="right"/>
      </w:pPr>
      <w:r>
        <w:rPr>
          <w:sz w:val="28"/>
        </w:rPr>
        <w:t>Дело № 5-72-187/2023</w:t>
      </w:r>
    </w:p>
    <w:p w:rsidR="00603085">
      <w:pPr>
        <w:spacing w:line="280" w:lineRule="atLeast"/>
        <w:ind w:firstLine="709"/>
        <w:jc w:val="right"/>
      </w:pPr>
      <w:r>
        <w:rPr>
          <w:sz w:val="28"/>
        </w:rPr>
        <w:t>УИД 23MS0207-телефон-телефон</w:t>
      </w:r>
    </w:p>
    <w:p w:rsidR="0060308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03085">
      <w:pPr>
        <w:spacing w:after="160"/>
        <w:jc w:val="both"/>
      </w:pPr>
      <w:r>
        <w:rPr>
          <w:sz w:val="28"/>
        </w:rPr>
        <w:t xml:space="preserve">23 мая 2023 года                                                                                         </w:t>
      </w:r>
      <w:r>
        <w:rPr>
          <w:sz w:val="28"/>
        </w:rPr>
        <w:t>г. Саки</w:t>
      </w:r>
    </w:p>
    <w:p w:rsidR="0060308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60308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Мустафаева</w:t>
      </w:r>
      <w:r>
        <w:rPr>
          <w:sz w:val="28"/>
        </w:rPr>
        <w:t xml:space="preserve"> Х.Ф.,</w:t>
      </w:r>
    </w:p>
    <w:p w:rsidR="0060308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Темрюкскому району в отношении: </w:t>
      </w:r>
    </w:p>
    <w:p w:rsidR="00603085">
      <w:pPr>
        <w:ind w:left="4248"/>
        <w:jc w:val="both"/>
      </w:pPr>
      <w:r>
        <w:rPr>
          <w:b/>
          <w:sz w:val="28"/>
        </w:rPr>
        <w:t>Мустафаева</w:t>
      </w:r>
      <w:r>
        <w:rPr>
          <w:b/>
          <w:sz w:val="28"/>
        </w:rPr>
        <w:t xml:space="preserve"> Халила </w:t>
      </w:r>
      <w:r>
        <w:rPr>
          <w:b/>
          <w:sz w:val="28"/>
        </w:rPr>
        <w:t>Ф</w:t>
      </w:r>
      <w:r>
        <w:rPr>
          <w:b/>
          <w:sz w:val="28"/>
        </w:rPr>
        <w:t>евзиевича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Узб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Российской Федерации (паспортные данные), получившего среднее образование, холостого, несовершеннолетних детей не имеющего, работающего в магазине «Сырная лавка» (адрес) в должности продавца, ранее не привле</w:t>
      </w:r>
      <w:r>
        <w:rPr>
          <w:sz w:val="28"/>
        </w:rPr>
        <w:t xml:space="preserve">каемого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60308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</w:t>
      </w:r>
      <w:r>
        <w:rPr>
          <w:sz w:val="28"/>
        </w:rPr>
        <w:t xml:space="preserve">арушениях, </w:t>
      </w:r>
    </w:p>
    <w:p w:rsidR="00603085">
      <w:pPr>
        <w:spacing w:after="160"/>
        <w:jc w:val="center"/>
      </w:pPr>
      <w:r>
        <w:rPr>
          <w:b/>
          <w:sz w:val="28"/>
        </w:rPr>
        <w:t>УСТАНОВИЛ:</w:t>
      </w:r>
    </w:p>
    <w:p w:rsidR="00603085">
      <w:pPr>
        <w:ind w:firstLine="708"/>
        <w:jc w:val="both"/>
      </w:pPr>
      <w:r>
        <w:rPr>
          <w:sz w:val="28"/>
        </w:rPr>
        <w:t>Мустафаев</w:t>
      </w:r>
      <w:r>
        <w:rPr>
          <w:sz w:val="28"/>
        </w:rPr>
        <w:t xml:space="preserve"> Х.Ф. дата </w:t>
      </w:r>
      <w:r>
        <w:rPr>
          <w:sz w:val="28"/>
        </w:rPr>
        <w:t>в</w:t>
      </w:r>
      <w:r>
        <w:rPr>
          <w:sz w:val="28"/>
        </w:rPr>
        <w:t xml:space="preserve"> время на адрес н/к Темрюк, 112 км + 200 м, управляя транспортным средством – автомобилем марки марка автомобиля MPVLX», государственный регистрационный знак Н707ЕА82, в нарушение требований п. п. 1.3, 9.1(1) ПДД</w:t>
      </w:r>
      <w:r>
        <w:rPr>
          <w:sz w:val="28"/>
        </w:rPr>
        <w:t xml:space="preserve"> РФ, при совершении маневра обгона транспортного средства, совершил выезд на полосу, предназначенную для встречного движения, в зоне действия дорожного знака 3.20, с пересечением сплошной линии дорожной разметки 1.1, разделяющую транспортные потоки в проти</w:t>
      </w:r>
      <w:r>
        <w:rPr>
          <w:sz w:val="28"/>
        </w:rPr>
        <w:t xml:space="preserve">воположных направлениях, тем самым совершил административное правонарушение, ответственность за которое предусмотренное ч. 4 ст. 12.15 КоАП РФ. </w:t>
      </w:r>
    </w:p>
    <w:p w:rsidR="0060308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Мустафаев</w:t>
      </w:r>
      <w:r>
        <w:rPr>
          <w:sz w:val="28"/>
        </w:rPr>
        <w:t xml:space="preserve"> Х.Ф. после просмотра видеозаписи фиксации административного правонарушения вину </w:t>
      </w:r>
      <w:r>
        <w:rPr>
          <w:sz w:val="28"/>
        </w:rPr>
        <w:t xml:space="preserve">в вышеуказанном </w:t>
      </w:r>
      <w:r>
        <w:rPr>
          <w:sz w:val="28"/>
        </w:rPr>
        <w:t xml:space="preserve">правонарушении признал, при этом пояснил, что в тот день проезжая по указанному участку дороги, велись дорожные работы, не отрицал, что мог пересечь сплошную линию дорожной разметки после совершения </w:t>
      </w:r>
      <w:r>
        <w:rPr>
          <w:sz w:val="28"/>
        </w:rPr>
        <w:t>обгона</w:t>
      </w:r>
      <w:r>
        <w:rPr>
          <w:sz w:val="28"/>
        </w:rPr>
        <w:t xml:space="preserve"> впереди идущего транспортного сред</w:t>
      </w:r>
      <w:r>
        <w:rPr>
          <w:sz w:val="28"/>
        </w:rPr>
        <w:t xml:space="preserve">ства, не увидев временный знак «обгон запрещен». </w:t>
      </w:r>
    </w:p>
    <w:p w:rsidR="0060308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Мустафаева</w:t>
      </w:r>
      <w:r>
        <w:rPr>
          <w:sz w:val="28"/>
        </w:rPr>
        <w:t xml:space="preserve"> Х.Ф., исследовав материалы дела, мировой судья пришел к выводу о наличии в действиях </w:t>
      </w:r>
      <w:r>
        <w:rPr>
          <w:sz w:val="28"/>
        </w:rPr>
        <w:t>Мустафаева</w:t>
      </w:r>
      <w:r>
        <w:rPr>
          <w:sz w:val="28"/>
        </w:rPr>
        <w:t xml:space="preserve"> Х.Ф. состава правонарушения, предусмотренного ст. 12.15 ч. 4 КоАП РФ, исходя из следующего</w:t>
      </w:r>
      <w:r>
        <w:rPr>
          <w:sz w:val="28"/>
        </w:rPr>
        <w:t>.</w:t>
      </w:r>
    </w:p>
    <w:p w:rsidR="00603085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</w:t>
      </w:r>
      <w:r>
        <w:rPr>
          <w:sz w:val="28"/>
        </w:rPr>
        <w:t xml:space="preserve"> привлечения лица к административной ответственности.</w:t>
      </w:r>
    </w:p>
    <w:p w:rsidR="0060308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rPr>
          <w:sz w:val="28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603085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</w:t>
      </w:r>
      <w:r>
        <w:rPr>
          <w:sz w:val="28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3085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</w:t>
      </w:r>
      <w:r>
        <w:rPr>
          <w:sz w:val="28"/>
        </w:rPr>
        <w:t>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3085">
      <w:pPr>
        <w:ind w:firstLine="708"/>
        <w:jc w:val="both"/>
      </w:pPr>
      <w:r>
        <w:rPr>
          <w:sz w:val="28"/>
        </w:rPr>
        <w:t xml:space="preserve">Пунктом 1.5 ПДД РФ установлено, что участники </w:t>
      </w:r>
      <w:r>
        <w:rPr>
          <w:sz w:val="28"/>
        </w:rPr>
        <w:t>дорожного движения должны действовать таким образом, чтобы не создавать опасности для движения и не причинять вреда.</w:t>
      </w:r>
    </w:p>
    <w:p w:rsidR="00603085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движения на полосу, предназначенную для встречного движения, либо на тра</w:t>
      </w:r>
      <w:r>
        <w:rPr>
          <w:sz w:val="28"/>
        </w:rPr>
        <w:t>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</w:t>
      </w:r>
      <w:r>
        <w:rPr>
          <w:sz w:val="28"/>
        </w:rPr>
        <w:t>яцев.</w:t>
      </w:r>
    </w:p>
    <w:p w:rsidR="00603085">
      <w:pPr>
        <w:ind w:firstLine="720"/>
        <w:jc w:val="both"/>
      </w:pPr>
      <w:r>
        <w:rPr>
          <w:sz w:val="28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603085">
      <w:pPr>
        <w:ind w:firstLine="720"/>
        <w:jc w:val="both"/>
      </w:pPr>
      <w:r>
        <w:rPr>
          <w:sz w:val="28"/>
        </w:rPr>
        <w:t>Изложенное согласуется с правовой позицие</w:t>
      </w:r>
      <w:r>
        <w:rPr>
          <w:sz w:val="28"/>
        </w:rPr>
        <w:t>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что административно-противоправным и наказуемым признается любой выезд на сторону д</w:t>
      </w:r>
      <w:r>
        <w:rPr>
          <w:sz w:val="28"/>
        </w:rPr>
        <w:t>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</w:t>
      </w:r>
      <w:r>
        <w:rPr>
          <w:sz w:val="28"/>
        </w:rPr>
        <w:t>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603085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 xml:space="preserve">Постановления </w:t>
        </w:r>
        <w:r>
          <w:rPr>
            <w:color w:val="0000FF"/>
            <w:sz w:val="28"/>
            <w:u w:val="single"/>
          </w:rPr>
          <w:t xml:space="preserve">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действия</w:t>
      </w:r>
      <w:r>
        <w:rPr>
          <w:sz w:val="28"/>
        </w:rPr>
        <w:t xml:space="preserve">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предназначе</w:t>
      </w:r>
      <w:r>
        <w:rPr>
          <w:sz w:val="28"/>
        </w:rPr>
        <w:t>нную для встречного движения, либо на трамвайные пути встречного</w:t>
      </w:r>
      <w:r>
        <w:rPr>
          <w:sz w:val="28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603085">
      <w:pPr>
        <w:ind w:firstLine="720"/>
        <w:jc w:val="both"/>
      </w:pPr>
      <w:r>
        <w:rPr>
          <w:sz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</w:t>
      </w:r>
      <w:r>
        <w:rPr>
          <w:sz w:val="28"/>
        </w:rPr>
        <w:t>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</w:t>
      </w:r>
      <w:r>
        <w:rPr>
          <w:sz w:val="28"/>
        </w:rPr>
        <w:t>1 (разделяющих транспортные потоки противоположных направлений)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603085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1.1 - разделяет транспортные потоки противоположных направлений и обозначает границы</w:t>
      </w:r>
      <w:r>
        <w:rPr>
          <w:sz w:val="28"/>
        </w:rPr>
        <w:t xml:space="preserve">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03085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</w:t>
      </w:r>
      <w:r>
        <w:rPr>
          <w:sz w:val="28"/>
        </w:rPr>
        <w:t xml:space="preserve">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>
        <w:rPr>
          <w:sz w:val="28"/>
        </w:rPr>
        <w:t>разделительной полосой, разметкой 1.1, 1.3 или разметкой 1.11, прерывистая лини</w:t>
      </w:r>
      <w:r>
        <w:rPr>
          <w:sz w:val="28"/>
        </w:rPr>
        <w:t>я которой расположена слева.</w:t>
      </w:r>
    </w:p>
    <w:p w:rsidR="00603085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603085">
      <w:pPr>
        <w:ind w:firstLine="708"/>
        <w:jc w:val="both"/>
      </w:pPr>
      <w:r>
        <w:rPr>
          <w:sz w:val="28"/>
        </w:rPr>
        <w:t>Статьей 26.1 КоАП РФ установлено, ч</w:t>
      </w:r>
      <w:r>
        <w:rPr>
          <w:sz w:val="28"/>
        </w:rPr>
        <w:t>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</w:t>
      </w:r>
      <w:r>
        <w:rPr>
          <w:sz w:val="28"/>
        </w:rPr>
        <w:t>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</w:t>
      </w:r>
      <w:r>
        <w:rPr>
          <w:sz w:val="28"/>
        </w:rPr>
        <w:t>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</w:t>
      </w:r>
      <w:r>
        <w:rPr>
          <w:sz w:val="28"/>
        </w:rPr>
        <w:t>онарушения.</w:t>
      </w:r>
    </w:p>
    <w:p w:rsidR="00603085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sz w:val="28"/>
        </w:rP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3085">
      <w:pPr>
        <w:ind w:firstLine="708"/>
        <w:jc w:val="both"/>
      </w:pPr>
      <w:r>
        <w:rPr>
          <w:sz w:val="28"/>
        </w:rPr>
        <w:t>Эти данные устанавливаются протоколо</w:t>
      </w:r>
      <w:r>
        <w:rPr>
          <w:sz w:val="28"/>
        </w:rPr>
        <w:t>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>
        <w:rPr>
          <w:sz w:val="28"/>
        </w:rPr>
        <w:t>та, иными документами, а также показаниями специальных технических средств, вещественными доказательствами.</w:t>
      </w:r>
    </w:p>
    <w:p w:rsidR="00603085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 протокола об административном правонарушении, в связи с чем, протокол является ос</w:t>
      </w:r>
      <w:r>
        <w:rPr>
          <w:sz w:val="28"/>
        </w:rPr>
        <w:t>новной формой фиксации доказательств по делу об административном правонарушении.</w:t>
      </w:r>
    </w:p>
    <w:p w:rsidR="00603085">
      <w:pPr>
        <w:ind w:firstLine="708"/>
        <w:jc w:val="both"/>
      </w:pPr>
      <w:r>
        <w:rPr>
          <w:sz w:val="28"/>
        </w:rPr>
        <w:t xml:space="preserve">Судом установлено и как следует из протокола об административном правонарушении 23 АП телефон от дата, он был составлен в отношении </w:t>
      </w:r>
      <w:r>
        <w:rPr>
          <w:sz w:val="28"/>
        </w:rPr>
        <w:t>Мустафаева</w:t>
      </w:r>
      <w:r>
        <w:rPr>
          <w:sz w:val="28"/>
        </w:rPr>
        <w:t xml:space="preserve"> Х.Ф.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на адрес н/к Темрюк, 112 км + 200 м, управляя транспортным средством – автомобилем марки марка автомобиля MPVLX», государственный регистрационный знак Н707ЕА82, в нарушение требований п. п. 1.3, 9.1(1) ПДД РФ, при совершении маневра обгона транспортного ср</w:t>
      </w:r>
      <w:r>
        <w:rPr>
          <w:sz w:val="28"/>
        </w:rPr>
        <w:t xml:space="preserve">едства, совершил выезд на полосу, предназначенную для встречного движения, в зоне действия дорожного знака 3.20, с пересечением сплошной линии дорожной разметки 1.1, разделяющую транспортные потоки в </w:t>
      </w:r>
      <w:r>
        <w:rPr>
          <w:sz w:val="28"/>
        </w:rPr>
        <w:t>противоположных направлениях, тем самым совершил админис</w:t>
      </w:r>
      <w:r>
        <w:rPr>
          <w:sz w:val="28"/>
        </w:rPr>
        <w:t xml:space="preserve">тративное правонарушение, ответственность за которое предусмотренное ч. 4 ст. 12.15 КоАП РФ. </w:t>
      </w:r>
    </w:p>
    <w:p w:rsidR="00603085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Мустафаева</w:t>
      </w:r>
      <w:r>
        <w:rPr>
          <w:sz w:val="28"/>
        </w:rPr>
        <w:t xml:space="preserve"> Х.Ф. дата </w:t>
      </w:r>
      <w:r>
        <w:rPr>
          <w:sz w:val="28"/>
        </w:rPr>
        <w:t>в</w:t>
      </w:r>
      <w:r>
        <w:rPr>
          <w:sz w:val="28"/>
        </w:rPr>
        <w:t xml:space="preserve"> время на адрес н/к Темрюк, 112 км + 200 м, в нарушение ПДД РФ на полосу, предназначенную для встречного движения, о к</w:t>
      </w:r>
      <w:r>
        <w:rPr>
          <w:sz w:val="28"/>
        </w:rPr>
        <w:t>оторых идет речь в протоколе об административном правонарушении, подтверждаются копией общей временной схемы № 2 организации движения на период ремонта автомобильной дороги, видеозаписью совершения административного правонарушения, из которой усматривается</w:t>
      </w:r>
      <w:r>
        <w:rPr>
          <w:sz w:val="28"/>
        </w:rPr>
        <w:t xml:space="preserve"> совершение им выезда на полосу встречного движения с пересечением сплошной линии дорожной разметки 1.1, разделяющей транспортные потоки в противоположных направлениях, в зоне действия дорожного знака 3.20.</w:t>
      </w:r>
    </w:p>
    <w:p w:rsidR="00603085">
      <w:pPr>
        <w:ind w:firstLine="708"/>
        <w:jc w:val="both"/>
      </w:pPr>
      <w:r>
        <w:rPr>
          <w:sz w:val="28"/>
        </w:rPr>
        <w:t>Письменные доказательства суд считает достоверным</w:t>
      </w:r>
      <w:r>
        <w:rPr>
          <w:sz w:val="28"/>
        </w:rPr>
        <w:t>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</w:t>
      </w:r>
      <w:r>
        <w:rPr>
          <w:sz w:val="28"/>
        </w:rPr>
        <w:t xml:space="preserve">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603085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нормам Кодекса </w:t>
      </w:r>
      <w:r>
        <w:rPr>
          <w:sz w:val="28"/>
        </w:rPr>
        <w:t>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</w:t>
      </w:r>
      <w:r>
        <w:rPr>
          <w:sz w:val="28"/>
        </w:rPr>
        <w:t xml:space="preserve">таточными для установления вины </w:t>
      </w:r>
      <w:r>
        <w:rPr>
          <w:sz w:val="28"/>
        </w:rPr>
        <w:t>Мустафаева</w:t>
      </w:r>
      <w:r>
        <w:rPr>
          <w:sz w:val="28"/>
        </w:rPr>
        <w:t xml:space="preserve"> Х.Ф. в совершении вышеуказанного административного правонарушения.</w:t>
      </w:r>
    </w:p>
    <w:p w:rsidR="00603085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какой момент выезда н</w:t>
      </w:r>
      <w:r>
        <w:rPr>
          <w:sz w:val="28"/>
        </w:rPr>
        <w:t>а полосу, предназначенную для встречного движения, транспортное средство располагалось на ней в нарушение ПДД РФ.</w:t>
      </w:r>
    </w:p>
    <w:p w:rsidR="0060308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Мустафаев</w:t>
      </w:r>
      <w:r>
        <w:rPr>
          <w:sz w:val="28"/>
        </w:rPr>
        <w:t xml:space="preserve"> Х.Ф., совершая маневр и выезжая на полосу, предназначенную для встречного движения, нарушил требования дорожной разме</w:t>
      </w:r>
      <w:r>
        <w:rPr>
          <w:sz w:val="28"/>
        </w:rPr>
        <w:t>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</w:t>
      </w:r>
      <w:r>
        <w:rPr>
          <w:sz w:val="28"/>
        </w:rPr>
        <w:t>ования Правил, сигналов светофоров, знаков и разметки.</w:t>
      </w:r>
    </w:p>
    <w:p w:rsidR="00603085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</w:t>
      </w:r>
      <w:r>
        <w:rPr>
          <w:sz w:val="28"/>
        </w:rPr>
        <w:t>отве</w:t>
      </w:r>
      <w:r>
        <w:rPr>
          <w:sz w:val="28"/>
        </w:rPr>
        <w:t>тственности. Никакие доказательства не могут иметь заранее установленной силы.</w:t>
      </w:r>
    </w:p>
    <w:p w:rsidR="00603085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</w:t>
      </w:r>
      <w:r>
        <w:rPr>
          <w:sz w:val="28"/>
        </w:rPr>
        <w:t>усмотренными КоАП РФ.</w:t>
      </w:r>
    </w:p>
    <w:p w:rsidR="00603085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Мустафаева</w:t>
      </w:r>
      <w:r>
        <w:rPr>
          <w:sz w:val="28"/>
        </w:rPr>
        <w:t xml:space="preserve"> Х.Ф.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</w:t>
      </w:r>
      <w:r>
        <w:rPr>
          <w:sz w:val="28"/>
        </w:rPr>
        <w:t xml:space="preserve">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603085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</w:t>
      </w:r>
      <w:r>
        <w:rPr>
          <w:sz w:val="28"/>
        </w:rPr>
        <w:t xml:space="preserve">ятельств, </w:t>
      </w:r>
      <w:r>
        <w:rPr>
          <w:sz w:val="28"/>
        </w:rPr>
        <w:t>Мустафаевым</w:t>
      </w:r>
      <w:r>
        <w:rPr>
          <w:sz w:val="28"/>
        </w:rPr>
        <w:t xml:space="preserve"> Х.Ф. не соблюдены.</w:t>
      </w:r>
    </w:p>
    <w:p w:rsidR="00603085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Мустафаева</w:t>
      </w:r>
      <w:r>
        <w:rPr>
          <w:sz w:val="28"/>
        </w:rPr>
        <w:t xml:space="preserve"> Х.Ф.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603085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603085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</w:t>
      </w:r>
      <w:r>
        <w:rPr>
          <w:sz w:val="28"/>
        </w:rPr>
        <w:t xml:space="preserve">ого правонарушения. </w:t>
      </w:r>
    </w:p>
    <w:p w:rsidR="00603085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Мустафаева</w:t>
      </w:r>
      <w:r>
        <w:rPr>
          <w:sz w:val="28"/>
        </w:rPr>
        <w:t xml:space="preserve"> Х.Ф.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</w:t>
      </w:r>
      <w:r>
        <w:rPr>
          <w:sz w:val="28"/>
        </w:rPr>
        <w:t xml:space="preserve">тимости в соответствии с требованиями статьи 26.11 КоАП РФ. </w:t>
      </w:r>
    </w:p>
    <w:p w:rsidR="00603085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60308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</w:t>
      </w:r>
      <w:r>
        <w:rPr>
          <w:sz w:val="28"/>
        </w:rPr>
        <w:t xml:space="preserve">но. </w:t>
      </w:r>
    </w:p>
    <w:p w:rsidR="00603085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судьей признает признание вины. </w:t>
      </w:r>
    </w:p>
    <w:p w:rsidR="0060308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КоАП РФ, мировым судьей не </w:t>
      </w:r>
      <w:r>
        <w:rPr>
          <w:sz w:val="28"/>
        </w:rPr>
        <w:t>установлено.</w:t>
      </w:r>
    </w:p>
    <w:p w:rsidR="0060308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</w:t>
      </w:r>
      <w:r>
        <w:rPr>
          <w:sz w:val="28"/>
        </w:rPr>
        <w:t xml:space="preserve">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</w:t>
      </w:r>
      <w:r>
        <w:rPr>
          <w:sz w:val="28"/>
        </w:rPr>
        <w:t>дорожного движения, при отсутствии вредных по</w:t>
      </w:r>
      <w:r>
        <w:rPr>
          <w:sz w:val="28"/>
        </w:rPr>
        <w:t>следствий, не причинивших вред здоровью и крупный ущерб, наличие</w:t>
      </w:r>
      <w:r>
        <w:rPr>
          <w:sz w:val="28"/>
        </w:rPr>
        <w:t xml:space="preserve"> обстоятельства, смягчающего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Мустафаева</w:t>
      </w:r>
      <w:r>
        <w:rPr>
          <w:sz w:val="28"/>
        </w:rPr>
        <w:t xml:space="preserve"> Х.Ф., а </w:t>
      </w:r>
      <w:r>
        <w:rPr>
          <w:sz w:val="28"/>
        </w:rPr>
        <w:t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60308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 ст. 29.9, 29.10, 29.11 КоАП РФ, мировой судья,</w:t>
      </w:r>
    </w:p>
    <w:p w:rsidR="00603085">
      <w:pPr>
        <w:ind w:firstLine="708"/>
        <w:jc w:val="center"/>
      </w:pPr>
      <w:r>
        <w:rPr>
          <w:b/>
          <w:sz w:val="28"/>
        </w:rPr>
        <w:t>ПОСТАНОВИЛ:</w:t>
      </w:r>
    </w:p>
    <w:p w:rsidR="00603085">
      <w:pPr>
        <w:ind w:firstLine="708"/>
        <w:jc w:val="both"/>
      </w:pPr>
      <w:r>
        <w:rPr>
          <w:b/>
          <w:sz w:val="28"/>
        </w:rPr>
        <w:t>Мустафаева</w:t>
      </w:r>
      <w:r>
        <w:rPr>
          <w:b/>
          <w:sz w:val="28"/>
        </w:rPr>
        <w:t xml:space="preserve"> Халила </w:t>
      </w:r>
      <w:r>
        <w:rPr>
          <w:b/>
          <w:sz w:val="28"/>
        </w:rPr>
        <w:t>Февзиевича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</w:t>
      </w:r>
      <w:r>
        <w:rPr>
          <w:sz w:val="28"/>
        </w:rPr>
        <w:t xml:space="preserve"> назначить ему административное наказание в виде штрафа в размере сумма.</w:t>
      </w:r>
    </w:p>
    <w:p w:rsidR="00603085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(Отдел МВД России по Темрюкскому району),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03100643000000011800, ба</w:t>
      </w:r>
      <w:r>
        <w:rPr>
          <w:sz w:val="28"/>
        </w:rPr>
        <w:t xml:space="preserve">нк получателя: ЮЖНОЕ наименование организации//УФК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 18810423230530003547, назначение платежа – административный штраф.</w:t>
      </w:r>
    </w:p>
    <w:p w:rsidR="00603085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</w:t>
      </w:r>
      <w:r>
        <w:rPr>
          <w:sz w:val="28"/>
        </w:rPr>
        <w:t xml:space="preserve">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603085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 быть уплачен в полном раз</w:t>
      </w:r>
      <w:r>
        <w:rPr>
          <w:sz w:val="28"/>
        </w:rPr>
        <w:t xml:space="preserve"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</w:t>
      </w:r>
      <w:r>
        <w:rPr>
          <w:sz w:val="28"/>
        </w:rPr>
        <w:t xml:space="preserve">о дня истечения срока отсрочки или срока 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603085">
      <w:pPr>
        <w:ind w:firstLine="708"/>
        <w:jc w:val="both"/>
      </w:pPr>
      <w:r>
        <w:rPr>
          <w:sz w:val="28"/>
        </w:rPr>
        <w:t>Согласно ст. 32.2 ч. 1.3</w:t>
      </w:r>
      <w:r>
        <w:rPr>
          <w:sz w:val="28"/>
        </w:rPr>
        <w:t xml:space="preserve">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ча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</w:t>
      </w:r>
      <w:r>
        <w:rPr>
          <w:sz w:val="28"/>
          <w:u w:val="single"/>
        </w:rPr>
        <w:t xml:space="preserve">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>
        <w:rPr>
          <w:sz w:val="28"/>
          <w:u w:val="single"/>
        </w:rPr>
        <w:t>наложенного административного штрафа. В случае, если копия постановления о назначении административного штрафа, направленн</w:t>
      </w:r>
      <w:r>
        <w:rPr>
          <w:sz w:val="28"/>
          <w:u w:val="single"/>
        </w:rPr>
        <w:t>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</w:t>
      </w:r>
      <w:r>
        <w:rPr>
          <w:sz w:val="28"/>
        </w:rPr>
        <w:t xml:space="preserve"> органом, должностн</w:t>
      </w:r>
      <w:r>
        <w:rPr>
          <w:sz w:val="28"/>
        </w:rPr>
        <w:t xml:space="preserve">ым лицом, вынесшими такое постановление, </w:t>
      </w:r>
      <w:r>
        <w:rPr>
          <w:sz w:val="28"/>
          <w:u w:val="single"/>
        </w:rPr>
        <w:t>по ходатайству лица, привлеченного к административной ответственности.</w:t>
      </w:r>
    </w:p>
    <w:p w:rsidR="0060308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82CB7">
      <w:pPr>
        <w:ind w:firstLine="708"/>
        <w:jc w:val="both"/>
        <w:rPr>
          <w:sz w:val="28"/>
        </w:rPr>
      </w:pPr>
    </w:p>
    <w:p w:rsidR="0060308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60308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85"/>
    <w:rsid w:val="00603085"/>
    <w:rsid w:val="00A82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